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4875"/>
        <w:gridCol w:w="1845"/>
        <w:gridCol w:w="3006"/>
      </w:tblGrid>
      <w:tr w:rsidR="00D8228C" w:rsidRPr="00D8228C" w14:paraId="2621C98F" w14:textId="77777777" w:rsidTr="0081563F">
        <w:trPr>
          <w:cantSplit/>
          <w:trHeight w:val="50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EB6F83" w14:textId="77777777" w:rsidR="00D8228C" w:rsidRPr="00D8228C" w:rsidRDefault="00D8228C" w:rsidP="0081563F">
            <w:pPr>
              <w:tabs>
                <w:tab w:val="left" w:pos="1020"/>
              </w:tabs>
              <w:snapToGrid w:val="0"/>
              <w:jc w:val="center"/>
              <w:rPr>
                <w:rFonts w:ascii="標楷體" w:eastAsia="標楷體" w:hAnsi="標楷體"/>
                <w:b/>
                <w:spacing w:val="40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b/>
                <w:spacing w:val="40"/>
                <w:sz w:val="26"/>
                <w:szCs w:val="26"/>
              </w:rPr>
              <w:t>人工加退選</w:t>
            </w:r>
          </w:p>
        </w:tc>
      </w:tr>
      <w:tr w:rsidR="00D8228C" w:rsidRPr="00D8228C" w14:paraId="590DDC12" w14:textId="77777777" w:rsidTr="0081563F">
        <w:trPr>
          <w:cantSplit/>
        </w:trPr>
        <w:tc>
          <w:tcPr>
            <w:tcW w:w="266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4C09" w14:textId="77777777" w:rsidR="00D8228C" w:rsidRPr="00D8228C" w:rsidRDefault="00D8228C" w:rsidP="0081563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階段</w:t>
            </w:r>
          </w:p>
        </w:tc>
        <w:tc>
          <w:tcPr>
            <w:tcW w:w="2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F459" w14:textId="77777777" w:rsidR="00D8228C" w:rsidRPr="00D8228C" w:rsidRDefault="00D8228C" w:rsidP="0081563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日  期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D691" w14:textId="77777777" w:rsidR="00D8228C" w:rsidRPr="00D8228C" w:rsidRDefault="00D8228C" w:rsidP="0081563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 xml:space="preserve">對  </w:t>
            </w:r>
            <w:proofErr w:type="gramStart"/>
            <w:r w:rsidRPr="00D8228C">
              <w:rPr>
                <w:rFonts w:ascii="標楷體" w:eastAsia="標楷體" w:hAnsi="標楷體"/>
                <w:sz w:val="26"/>
                <w:szCs w:val="26"/>
              </w:rPr>
              <w:t>象</w:t>
            </w:r>
            <w:proofErr w:type="gramEnd"/>
          </w:p>
        </w:tc>
        <w:tc>
          <w:tcPr>
            <w:tcW w:w="1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56986" w14:textId="77777777" w:rsidR="00D8228C" w:rsidRPr="00D8228C" w:rsidRDefault="00D8228C" w:rsidP="0081563F">
            <w:pPr>
              <w:tabs>
                <w:tab w:val="left" w:pos="1020"/>
              </w:tabs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作 業 內 容</w:t>
            </w:r>
          </w:p>
        </w:tc>
      </w:tr>
      <w:tr w:rsidR="00D8228C" w:rsidRPr="00D8228C" w14:paraId="145AAAB3" w14:textId="77777777" w:rsidTr="0081563F">
        <w:trPr>
          <w:cantSplit/>
          <w:trHeight w:val="78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27E2" w14:textId="77777777" w:rsidR="00D8228C" w:rsidRPr="00D8228C" w:rsidRDefault="00D8228C" w:rsidP="0081563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第二階段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F8BF" w14:textId="77777777" w:rsidR="00D8228C" w:rsidRPr="00D8228C" w:rsidRDefault="00D8228C" w:rsidP="0081563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262D8397" w14:textId="77777777" w:rsidR="00D8228C" w:rsidRPr="00D8228C" w:rsidRDefault="00D8228C" w:rsidP="0081563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每日下午2:30 至 晚上8:00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0748" w14:textId="77777777" w:rsidR="00D8228C" w:rsidRPr="00D8228C" w:rsidRDefault="00D8228C" w:rsidP="0081563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碩專班</w:t>
            </w:r>
            <w:proofErr w:type="gramEnd"/>
          </w:p>
          <w:p w14:paraId="0A0A1D51" w14:textId="77777777" w:rsidR="00D8228C" w:rsidRPr="00D8228C" w:rsidRDefault="00D8228C" w:rsidP="0081563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應屆畢業生</w:t>
            </w:r>
          </w:p>
          <w:p w14:paraId="41135CD4" w14:textId="77777777" w:rsidR="00D8228C" w:rsidRPr="00D8228C" w:rsidRDefault="00D8228C" w:rsidP="0081563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（含延修生）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D17E5" w14:textId="77777777" w:rsidR="00D8228C" w:rsidRPr="00D8228C" w:rsidRDefault="00D8228C" w:rsidP="0081563F">
            <w:pPr>
              <w:spacing w:line="300" w:lineRule="exact"/>
              <w:ind w:left="254" w:hanging="254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1.必、選修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22EA6EBB" w14:textId="77777777" w:rsidR="00D8228C" w:rsidRPr="00D8228C" w:rsidRDefault="00D8228C" w:rsidP="0081563F">
            <w:pPr>
              <w:spacing w:line="300" w:lineRule="exact"/>
              <w:ind w:left="369" w:hanging="369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2.核心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博雅通識課程</w:t>
            </w:r>
          </w:p>
          <w:p w14:paraId="16A6BACD" w14:textId="77777777" w:rsidR="00D8228C" w:rsidRPr="00D8228C" w:rsidRDefault="00D8228C" w:rsidP="0081563F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3.隨班重補修之課程</w:t>
            </w:r>
          </w:p>
          <w:p w14:paraId="15590D29" w14:textId="77777777" w:rsidR="00D8228C" w:rsidRPr="00D8228C" w:rsidRDefault="00D8228C" w:rsidP="0081563F">
            <w:pPr>
              <w:widowControl/>
              <w:spacing w:line="300" w:lineRule="exact"/>
              <w:ind w:left="387" w:hangingChars="149" w:hanging="387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4.體育課程</w:t>
            </w:r>
          </w:p>
        </w:tc>
      </w:tr>
      <w:tr w:rsidR="00D8228C" w:rsidRPr="00D8228C" w14:paraId="7DD56EEE" w14:textId="77777777" w:rsidTr="0081563F">
        <w:trPr>
          <w:cantSplit/>
          <w:trHeight w:val="780"/>
        </w:trPr>
        <w:tc>
          <w:tcPr>
            <w:tcW w:w="266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4F78" w14:textId="77777777" w:rsidR="00D8228C" w:rsidRPr="00D8228C" w:rsidRDefault="00D8228C" w:rsidP="0081563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A283" w14:textId="77777777" w:rsidR="00D8228C" w:rsidRPr="00D8228C" w:rsidRDefault="00D8228C" w:rsidP="00815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/0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)~1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/0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1D932F11" w14:textId="77777777" w:rsidR="00D8228C" w:rsidRPr="00D8228C" w:rsidRDefault="00D8228C" w:rsidP="00815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每日下午2:30 至 晚上8:00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70D9" w14:textId="77777777" w:rsidR="00D8228C" w:rsidRPr="00D8228C" w:rsidRDefault="00D8228C" w:rsidP="0081563F">
            <w:pPr>
              <w:spacing w:before="40"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進修部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</w:tc>
        <w:tc>
          <w:tcPr>
            <w:tcW w:w="1463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30E39" w14:textId="77777777" w:rsidR="00D8228C" w:rsidRPr="00D8228C" w:rsidRDefault="00D8228C" w:rsidP="0081563F">
            <w:pPr>
              <w:spacing w:before="40" w:line="300" w:lineRule="exact"/>
              <w:ind w:left="254" w:hanging="2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228C" w:rsidRPr="00D8228C" w14:paraId="308DB11F" w14:textId="77777777" w:rsidTr="0081563F">
        <w:trPr>
          <w:cantSplit/>
          <w:trHeight w:val="78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00D9295" w14:textId="77777777" w:rsidR="00D8228C" w:rsidRPr="00D8228C" w:rsidRDefault="00D8228C" w:rsidP="0081563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proofErr w:type="gramStart"/>
            <w:r w:rsidRPr="00D8228C">
              <w:rPr>
                <w:rFonts w:ascii="標楷體" w:eastAsia="標楷體" w:hAnsi="標楷體"/>
                <w:spacing w:val="-6"/>
                <w:sz w:val="26"/>
                <w:szCs w:val="26"/>
              </w:rPr>
              <w:t>跨部加退</w:t>
            </w:r>
            <w:proofErr w:type="gramEnd"/>
            <w:r w:rsidRPr="00D8228C">
              <w:rPr>
                <w:rFonts w:ascii="標楷體" w:eastAsia="標楷體" w:hAnsi="標楷體"/>
                <w:spacing w:val="-6"/>
                <w:sz w:val="26"/>
                <w:szCs w:val="26"/>
              </w:rPr>
              <w:t>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03D2" w14:textId="77777777" w:rsidR="00D8228C" w:rsidRPr="00D8228C" w:rsidRDefault="00D8228C" w:rsidP="00815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50C8" w14:textId="77777777" w:rsidR="00D8228C" w:rsidRPr="00D8228C" w:rsidRDefault="00D8228C" w:rsidP="0081563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碩士班</w:t>
            </w:r>
          </w:p>
          <w:p w14:paraId="624FC054" w14:textId="77777777" w:rsidR="00D8228C" w:rsidRPr="00D8228C" w:rsidRDefault="00D8228C" w:rsidP="0081563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應屆畢業生</w:t>
            </w:r>
          </w:p>
          <w:p w14:paraId="28922EC8" w14:textId="77777777" w:rsidR="00D8228C" w:rsidRPr="00D8228C" w:rsidRDefault="00D8228C" w:rsidP="0081563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（含延修生）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98773" w14:textId="77777777" w:rsidR="00D8228C" w:rsidRPr="00D8228C" w:rsidRDefault="00D8228C" w:rsidP="0081563F">
            <w:pPr>
              <w:spacing w:before="4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辦理跨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日間部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選課事宜</w:t>
            </w:r>
          </w:p>
          <w:p w14:paraId="6D6E039E" w14:textId="77777777" w:rsidR="00D8228C" w:rsidRPr="00D8228C" w:rsidRDefault="00D8228C" w:rsidP="0081563F">
            <w:pPr>
              <w:spacing w:before="4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(選課時間：請參考日間部選課公告)</w:t>
            </w:r>
          </w:p>
        </w:tc>
      </w:tr>
      <w:tr w:rsidR="00D8228C" w:rsidRPr="00D8228C" w14:paraId="266CF345" w14:textId="77777777" w:rsidTr="0081563F">
        <w:trPr>
          <w:cantSplit/>
          <w:trHeight w:val="780"/>
        </w:trPr>
        <w:tc>
          <w:tcPr>
            <w:tcW w:w="2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BB51" w14:textId="77777777" w:rsidR="00D8228C" w:rsidRPr="00D8228C" w:rsidRDefault="00D8228C" w:rsidP="0081563F">
            <w:pPr>
              <w:spacing w:line="240" w:lineRule="exact"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237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F016" w14:textId="77777777" w:rsidR="00D8228C" w:rsidRPr="00D8228C" w:rsidRDefault="00D8228C" w:rsidP="0081563F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9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57C7" w14:textId="77777777" w:rsidR="00D8228C" w:rsidRPr="00D8228C" w:rsidRDefault="00D8228C" w:rsidP="0081563F">
            <w:pPr>
              <w:spacing w:before="4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進修部</w:t>
            </w:r>
            <w:r w:rsidRPr="00D8228C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</w:tc>
        <w:tc>
          <w:tcPr>
            <w:tcW w:w="1463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D5AB0" w14:textId="77777777" w:rsidR="00D8228C" w:rsidRPr="00D8228C" w:rsidRDefault="00D8228C" w:rsidP="0081563F">
            <w:pPr>
              <w:spacing w:before="40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228C" w:rsidRPr="00D8228C" w14:paraId="4B65F430" w14:textId="77777777" w:rsidTr="0081563F">
        <w:trPr>
          <w:trHeight w:val="6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D7608" w14:textId="77777777" w:rsidR="00D8228C" w:rsidRPr="00D8228C" w:rsidRDefault="00D8228C" w:rsidP="0081563F">
            <w:pPr>
              <w:spacing w:before="20" w:after="20" w:line="240" w:lineRule="exact"/>
              <w:ind w:left="1425" w:hanging="142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/>
                <w:sz w:val="26"/>
                <w:szCs w:val="26"/>
              </w:rPr>
              <w:t>注 意 事 項</w:t>
            </w:r>
          </w:p>
        </w:tc>
      </w:tr>
      <w:tr w:rsidR="00D8228C" w:rsidRPr="00D8228C" w14:paraId="59D386AE" w14:textId="77777777" w:rsidTr="0081563F">
        <w:trPr>
          <w:trHeight w:val="255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5A2C4" w14:textId="77777777" w:rsidR="00D8228C" w:rsidRPr="00D8228C" w:rsidRDefault="00D8228C" w:rsidP="0081563F">
            <w:pPr>
              <w:spacing w:line="28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1.各項加退選及學分互</w:t>
            </w:r>
            <w:proofErr w:type="gramStart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抵均須經</w:t>
            </w:r>
            <w:proofErr w:type="gramEnd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系主任審核同意後始得辦理，</w:t>
            </w:r>
            <w:proofErr w:type="gramStart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凡經抵免</w:t>
            </w:r>
            <w:proofErr w:type="gramEnd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學分之科目不得重複修習。</w:t>
            </w:r>
          </w:p>
          <w:p w14:paraId="6D51FE0F" w14:textId="77777777" w:rsidR="00D8228C" w:rsidRPr="00D8228C" w:rsidRDefault="00D8228C" w:rsidP="0081563F">
            <w:pPr>
              <w:spacing w:line="28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2.人工加、退選申請表請於辦理前一</w:t>
            </w:r>
            <w:proofErr w:type="gramStart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起至教務行政組網頁下載或至教務行政組領取，並先至各教學單位審核簽章。</w:t>
            </w:r>
          </w:p>
          <w:p w14:paraId="7D8C82E0" w14:textId="77777777" w:rsidR="00D8228C" w:rsidRPr="00D8228C" w:rsidRDefault="00D8228C" w:rsidP="0081563F">
            <w:pPr>
              <w:spacing w:line="28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3.四技一、二年級</w:t>
            </w:r>
            <w:proofErr w:type="gramStart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體育課加退</w:t>
            </w:r>
            <w:proofErr w:type="gramEnd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選，學生親自於第二閱覽室旁走廊排隊，領取流水號碼後，至教務行政組辦理。</w:t>
            </w:r>
          </w:p>
          <w:p w14:paraId="1285CE47" w14:textId="77777777" w:rsidR="00D8228C" w:rsidRPr="00D8228C" w:rsidRDefault="00D8228C" w:rsidP="0081563F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4.碩士班研究生選課，請依各系選課相關規定辦理。</w:t>
            </w:r>
          </w:p>
          <w:p w14:paraId="324739DC" w14:textId="77777777" w:rsidR="00D8228C" w:rsidRPr="00D8228C" w:rsidRDefault="00D8228C" w:rsidP="0081563F">
            <w:pPr>
              <w:spacing w:line="280" w:lineRule="exact"/>
              <w:ind w:left="1302" w:hanging="1302"/>
              <w:rPr>
                <w:rFonts w:ascii="標楷體" w:eastAsia="標楷體" w:hAnsi="標楷體"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5.人工加、退選方式</w:t>
            </w:r>
            <w:proofErr w:type="gramStart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採由線上即時</w:t>
            </w:r>
            <w:proofErr w:type="gramEnd"/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辦理與教師點名系統同步作業，故完成手續後應依選課</w:t>
            </w:r>
          </w:p>
          <w:p w14:paraId="71836C02" w14:textId="77777777" w:rsidR="00D8228C" w:rsidRPr="00D8228C" w:rsidRDefault="00D8228C" w:rsidP="0081563F">
            <w:pPr>
              <w:spacing w:line="280" w:lineRule="exact"/>
              <w:ind w:leftChars="50" w:left="120" w:firstLineChars="50" w:firstLine="13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8228C">
              <w:rPr>
                <w:rFonts w:ascii="標楷體" w:eastAsia="標楷體" w:hAnsi="標楷體" w:hint="eastAsia"/>
                <w:sz w:val="26"/>
                <w:szCs w:val="26"/>
              </w:rPr>
              <w:t>結果上課。</w:t>
            </w:r>
          </w:p>
        </w:tc>
      </w:tr>
    </w:tbl>
    <w:p w14:paraId="279750BD" w14:textId="44F6DC77" w:rsidR="00D525A2" w:rsidRPr="00BD1597" w:rsidRDefault="00BD1597" w:rsidP="00BD159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D1597">
        <w:rPr>
          <w:rFonts w:ascii="標楷體" w:eastAsia="標楷體" w:hAnsi="標楷體" w:hint="eastAsia"/>
          <w:b/>
          <w:bCs/>
          <w:sz w:val="32"/>
          <w:szCs w:val="32"/>
        </w:rPr>
        <w:t>進修</w:t>
      </w:r>
      <w:r w:rsidRPr="00BD1597">
        <w:rPr>
          <w:rFonts w:ascii="標楷體" w:eastAsia="標楷體" w:hAnsi="標楷體"/>
          <w:b/>
          <w:bCs/>
          <w:sz w:val="32"/>
          <w:szCs w:val="32"/>
        </w:rPr>
        <w:t xml:space="preserve">部 111 </w:t>
      </w:r>
      <w:proofErr w:type="gramStart"/>
      <w:r w:rsidRPr="00BD1597">
        <w:rPr>
          <w:rFonts w:ascii="標楷體" w:eastAsia="標楷體" w:hAnsi="標楷體"/>
          <w:b/>
          <w:bCs/>
          <w:sz w:val="32"/>
          <w:szCs w:val="32"/>
        </w:rPr>
        <w:t>學年度第</w:t>
      </w:r>
      <w:proofErr w:type="gramEnd"/>
      <w:r w:rsidRPr="00BD1597">
        <w:rPr>
          <w:rFonts w:ascii="標楷體" w:eastAsia="標楷體" w:hAnsi="標楷體"/>
          <w:b/>
          <w:bCs/>
          <w:sz w:val="32"/>
          <w:szCs w:val="32"/>
        </w:rPr>
        <w:t xml:space="preserve"> 1 學期人工加退選時間及注意事項</w:t>
      </w:r>
    </w:p>
    <w:sectPr w:rsidR="00D525A2" w:rsidRPr="00BD1597" w:rsidSect="00A00D84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1717" w14:textId="77777777" w:rsidR="00110503" w:rsidRDefault="00110503" w:rsidP="00BD1597">
      <w:r>
        <w:separator/>
      </w:r>
    </w:p>
  </w:endnote>
  <w:endnote w:type="continuationSeparator" w:id="0">
    <w:p w14:paraId="1895F195" w14:textId="77777777" w:rsidR="00110503" w:rsidRDefault="00110503" w:rsidP="00BD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1B8B" w14:textId="77777777" w:rsidR="00110503" w:rsidRDefault="00110503" w:rsidP="00BD1597">
      <w:r>
        <w:separator/>
      </w:r>
    </w:p>
  </w:footnote>
  <w:footnote w:type="continuationSeparator" w:id="0">
    <w:p w14:paraId="60D4F4EA" w14:textId="77777777" w:rsidR="00110503" w:rsidRDefault="00110503" w:rsidP="00BD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84"/>
    <w:rsid w:val="00110503"/>
    <w:rsid w:val="0081563F"/>
    <w:rsid w:val="00A00D84"/>
    <w:rsid w:val="00BD1597"/>
    <w:rsid w:val="00C73351"/>
    <w:rsid w:val="00D525A2"/>
    <w:rsid w:val="00D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9A58"/>
  <w15:chartTrackingRefBased/>
  <w15:docId w15:val="{E7E151E8-6C23-491B-A7E9-77BC828D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15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15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張惠卿 [huching]</dc:creator>
  <cp:keywords/>
  <dc:description/>
  <cp:lastModifiedBy>張惠卿 [huching]</cp:lastModifiedBy>
  <cp:revision>2</cp:revision>
  <dcterms:created xsi:type="dcterms:W3CDTF">2022-09-19T08:19:00Z</dcterms:created>
  <dcterms:modified xsi:type="dcterms:W3CDTF">2022-09-19T08:19:00Z</dcterms:modified>
</cp:coreProperties>
</file>