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5C" w:rsidRPr="00AE5C34" w:rsidRDefault="00AA6E5C" w:rsidP="00AA6E5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E5C34">
        <w:rPr>
          <w:rFonts w:ascii="標楷體" w:eastAsia="標楷體" w:hAnsi="標楷體" w:hint="eastAsia"/>
          <w:color w:val="000000" w:themeColor="text1"/>
          <w:sz w:val="28"/>
          <w:szCs w:val="28"/>
        </w:rPr>
        <w:t>德明財經科技大學財金學院課程規劃委員會</w:t>
      </w:r>
      <w:r w:rsidR="007E4033" w:rsidRPr="00AE5C3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設置要點</w:t>
      </w:r>
    </w:p>
    <w:p w:rsidR="00AA6E5C" w:rsidRPr="00AE5C34" w:rsidRDefault="00AA6E5C" w:rsidP="00AA6E5C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r w:rsidRPr="00AE5C34">
        <w:rPr>
          <w:rFonts w:ascii="標楷體" w:eastAsia="標楷體" w:hAnsi="標楷體" w:hint="eastAsia"/>
          <w:color w:val="000000" w:themeColor="text1"/>
          <w:sz w:val="20"/>
        </w:rPr>
        <w:t>民國九十六年七月三日院務會議訂定通過</w:t>
      </w:r>
    </w:p>
    <w:p w:rsidR="00AA6E5C" w:rsidRPr="00AE5C34" w:rsidRDefault="00AA6E5C" w:rsidP="00AA6E5C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12"/>
          <w:attr w:name="Year" w:val="2007"/>
        </w:smartTagPr>
        <w:r w:rsidRPr="00AE5C34">
          <w:rPr>
            <w:rFonts w:ascii="標楷體" w:eastAsia="標楷體" w:hAnsi="標楷體" w:hint="eastAsia"/>
            <w:color w:val="000000" w:themeColor="text1"/>
            <w:sz w:val="20"/>
          </w:rPr>
          <w:t>民國九十六年十二月十九日</w:t>
        </w:r>
      </w:smartTag>
      <w:r w:rsidRPr="00AE5C34">
        <w:rPr>
          <w:rFonts w:ascii="標楷體" w:eastAsia="標楷體" w:hAnsi="標楷體" w:hint="eastAsia"/>
          <w:color w:val="000000" w:themeColor="text1"/>
          <w:sz w:val="20"/>
        </w:rPr>
        <w:t>院務會議修訂通過</w:t>
      </w:r>
    </w:p>
    <w:p w:rsidR="00AA6E5C" w:rsidRPr="00AE5C34" w:rsidRDefault="00AA6E5C" w:rsidP="00AA6E5C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12"/>
          <w:attr w:name="Year" w:val="2007"/>
        </w:smartTagPr>
        <w:r w:rsidRPr="00AE5C34">
          <w:rPr>
            <w:rFonts w:ascii="標楷體" w:eastAsia="標楷體" w:hAnsi="標楷體" w:hint="eastAsia"/>
            <w:color w:val="000000" w:themeColor="text1"/>
            <w:sz w:val="20"/>
          </w:rPr>
          <w:t>民國九十六年十二月二十一日</w:t>
        </w:r>
      </w:smartTag>
      <w:r w:rsidRPr="00AE5C34">
        <w:rPr>
          <w:rFonts w:ascii="標楷體" w:eastAsia="標楷體" w:hAnsi="標楷體" w:hint="eastAsia"/>
          <w:color w:val="000000" w:themeColor="text1"/>
          <w:sz w:val="20"/>
        </w:rPr>
        <w:t>(96)德金院通字第001號公布</w:t>
      </w:r>
    </w:p>
    <w:p w:rsidR="00AA6E5C" w:rsidRPr="00AE5C34" w:rsidRDefault="00AA6E5C" w:rsidP="00AA6E5C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2"/>
          <w:attr w:name="Year" w:val="2008"/>
        </w:smartTagPr>
        <w:r w:rsidRPr="00AE5C34">
          <w:rPr>
            <w:rFonts w:ascii="標楷體" w:eastAsia="標楷體" w:hAnsi="標楷體" w:hint="eastAsia"/>
            <w:color w:val="000000" w:themeColor="text1"/>
            <w:sz w:val="20"/>
          </w:rPr>
          <w:t>民國九十七年十二月二十四日</w:t>
        </w:r>
      </w:smartTag>
      <w:r w:rsidRPr="00AE5C34">
        <w:rPr>
          <w:rFonts w:ascii="標楷體" w:eastAsia="標楷體" w:hAnsi="標楷體" w:hint="eastAsia"/>
          <w:color w:val="000000" w:themeColor="text1"/>
          <w:sz w:val="20"/>
        </w:rPr>
        <w:t>院務會議修訂通過</w:t>
      </w:r>
    </w:p>
    <w:p w:rsidR="00AA6E5C" w:rsidRPr="00AE5C34" w:rsidRDefault="00AA6E5C" w:rsidP="00AA6E5C">
      <w:pPr>
        <w:ind w:leftChars="225" w:left="540" w:firstLineChars="13" w:firstLine="26"/>
        <w:rPr>
          <w:rFonts w:ascii="標楷體" w:eastAsia="標楷體" w:hAnsi="標楷體"/>
          <w:color w:val="000000" w:themeColor="text1"/>
          <w:sz w:val="20"/>
        </w:rPr>
      </w:pPr>
      <w:r w:rsidRPr="00AE5C34">
        <w:rPr>
          <w:rFonts w:ascii="標楷體" w:eastAsia="標楷體" w:hAnsi="標楷體" w:hint="eastAsia"/>
          <w:color w:val="000000" w:themeColor="text1"/>
          <w:sz w:val="20"/>
        </w:rPr>
        <w:t>民國一○一年十月十六日院務會議修訂通過</w:t>
      </w:r>
    </w:p>
    <w:p w:rsidR="00D435C1" w:rsidRPr="00AE5C34" w:rsidRDefault="00D435C1" w:rsidP="00D435C1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r w:rsidRPr="00AE5C34">
        <w:rPr>
          <w:rFonts w:ascii="標楷體" w:eastAsia="標楷體" w:hAnsi="標楷體" w:hint="eastAsia"/>
          <w:color w:val="000000" w:themeColor="text1"/>
          <w:sz w:val="20"/>
        </w:rPr>
        <w:t>民國一○一年十月二十九日(101)德金院通字第005號公布</w:t>
      </w:r>
    </w:p>
    <w:p w:rsidR="0053690F" w:rsidRPr="00AE5C34" w:rsidRDefault="005732CC" w:rsidP="0053690F">
      <w:pPr>
        <w:ind w:leftChars="225" w:left="540" w:firstLineChars="13" w:firstLine="26"/>
        <w:rPr>
          <w:rFonts w:ascii="標楷體" w:eastAsia="標楷體" w:hAnsi="標楷體"/>
          <w:color w:val="000000" w:themeColor="text1"/>
          <w:sz w:val="20"/>
        </w:rPr>
      </w:pPr>
      <w:r w:rsidRPr="00AE5C34">
        <w:rPr>
          <w:rFonts w:ascii="標楷體" w:eastAsia="標楷體" w:hAnsi="標楷體" w:hint="eastAsia"/>
          <w:color w:val="000000" w:themeColor="text1"/>
          <w:sz w:val="20"/>
        </w:rPr>
        <w:t>民國一○五年六月十六日院務會議通過修訂</w:t>
      </w:r>
      <w:r w:rsidR="0053690F" w:rsidRPr="00AE5C34">
        <w:rPr>
          <w:rFonts w:ascii="標楷體" w:eastAsia="標楷體" w:hAnsi="標楷體" w:hint="eastAsia"/>
          <w:color w:val="000000" w:themeColor="text1"/>
          <w:sz w:val="20"/>
        </w:rPr>
        <w:t>(105)德金院通字第001號公布</w:t>
      </w:r>
    </w:p>
    <w:p w:rsidR="00AA6E5C" w:rsidRDefault="00534F3F" w:rsidP="00AA6E5C">
      <w:pPr>
        <w:ind w:leftChars="225" w:left="540"/>
        <w:rPr>
          <w:rFonts w:ascii="標楷體" w:eastAsia="標楷體" w:hAnsi="標楷體"/>
          <w:color w:val="000000" w:themeColor="text1"/>
          <w:sz w:val="20"/>
        </w:rPr>
      </w:pPr>
      <w:r w:rsidRPr="00AE5C34">
        <w:rPr>
          <w:rFonts w:ascii="標楷體" w:eastAsia="標楷體" w:hAnsi="標楷體" w:hint="eastAsia"/>
          <w:color w:val="000000" w:themeColor="text1"/>
          <w:sz w:val="20"/>
        </w:rPr>
        <w:t>民國一○</w:t>
      </w:r>
      <w:r>
        <w:rPr>
          <w:rFonts w:ascii="標楷體" w:eastAsia="標楷體" w:hAnsi="標楷體" w:hint="eastAsia"/>
          <w:color w:val="000000" w:themeColor="text1"/>
          <w:sz w:val="20"/>
        </w:rPr>
        <w:t>七</w:t>
      </w:r>
      <w:r w:rsidRPr="00AE5C34">
        <w:rPr>
          <w:rFonts w:ascii="標楷體" w:eastAsia="標楷體" w:hAnsi="標楷體" w:hint="eastAsia"/>
          <w:color w:val="000000" w:themeColor="text1"/>
          <w:sz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</w:rPr>
        <w:t>十二</w:t>
      </w:r>
      <w:r w:rsidRPr="00AE5C34">
        <w:rPr>
          <w:rFonts w:ascii="標楷體" w:eastAsia="標楷體" w:hAnsi="標楷體" w:hint="eastAsia"/>
          <w:color w:val="000000" w:themeColor="text1"/>
          <w:sz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</w:rPr>
        <w:t>二十</w:t>
      </w:r>
      <w:r w:rsidRPr="00AE5C34">
        <w:rPr>
          <w:rFonts w:ascii="標楷體" w:eastAsia="標楷體" w:hAnsi="標楷體" w:hint="eastAsia"/>
          <w:color w:val="000000" w:themeColor="text1"/>
          <w:sz w:val="20"/>
        </w:rPr>
        <w:t>日院務會議</w:t>
      </w:r>
      <w:r>
        <w:rPr>
          <w:rFonts w:ascii="標楷體" w:eastAsia="標楷體" w:hAnsi="標楷體" w:hint="eastAsia"/>
          <w:color w:val="000000" w:themeColor="text1"/>
          <w:sz w:val="20"/>
        </w:rPr>
        <w:t>修訂</w:t>
      </w:r>
      <w:r w:rsidRPr="00AE5C34">
        <w:rPr>
          <w:rFonts w:ascii="標楷體" w:eastAsia="標楷體" w:hAnsi="標楷體" w:hint="eastAsia"/>
          <w:color w:val="000000" w:themeColor="text1"/>
          <w:sz w:val="20"/>
        </w:rPr>
        <w:t>通過</w:t>
      </w:r>
    </w:p>
    <w:p w:rsidR="00534F3F" w:rsidRPr="00AE5C34" w:rsidRDefault="00534F3F" w:rsidP="00AA6E5C">
      <w:pPr>
        <w:ind w:leftChars="225" w:left="540"/>
        <w:rPr>
          <w:rFonts w:ascii="標楷體" w:eastAsia="標楷體" w:hAnsi="標楷體" w:hint="eastAsia"/>
          <w:color w:val="000000" w:themeColor="text1"/>
          <w:sz w:val="20"/>
        </w:rPr>
      </w:pPr>
    </w:p>
    <w:p w:rsidR="00AA6E5C" w:rsidRPr="00BF3F0C" w:rsidRDefault="00AA6E5C" w:rsidP="00AE5C34">
      <w:pPr>
        <w:tabs>
          <w:tab w:val="left" w:pos="2700"/>
        </w:tabs>
        <w:spacing w:beforeLines="50" w:before="180"/>
        <w:rPr>
          <w:rFonts w:ascii="標楷體" w:eastAsia="標楷體" w:hAnsi="標楷體" w:cs="Arial"/>
          <w:color w:val="000000" w:themeColor="text1"/>
        </w:rPr>
      </w:pPr>
      <w:r w:rsidRPr="00BF3F0C">
        <w:rPr>
          <w:rFonts w:ascii="標楷體" w:eastAsia="標楷體" w:hAnsi="標楷體" w:cs="Arial" w:hint="eastAsia"/>
          <w:color w:val="000000" w:themeColor="text1"/>
        </w:rPr>
        <w:t>第一條（依據）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德明財經科技大學財金學院(以下簡稱本院)為有效整合教學課程及資源，提昇教學績效，依本院組織章程第八條規定，</w:t>
      </w:r>
      <w:r w:rsidR="007E4033" w:rsidRPr="00BF3F0C">
        <w:rPr>
          <w:rFonts w:ascii="標楷體" w:eastAsia="標楷體" w:hAnsi="標楷體" w:hint="eastAsia"/>
          <w:color w:val="000000" w:themeColor="text1"/>
        </w:rPr>
        <w:t>特訂定「德明財經科技大學財金學院課程規劃委員會設置要點</w:t>
      </w:r>
      <w:r w:rsidRPr="00BF3F0C">
        <w:rPr>
          <w:rFonts w:ascii="標楷體" w:eastAsia="標楷體" w:hAnsi="標楷體" w:hint="eastAsia"/>
          <w:color w:val="000000" w:themeColor="text1"/>
        </w:rPr>
        <w:t>」</w:t>
      </w:r>
      <w:r w:rsidRPr="00BF3F0C">
        <w:rPr>
          <w:rFonts w:ascii="標楷體" w:eastAsia="標楷體" w:hAnsi="標楷體" w:cs="新細明體" w:hint="eastAsia"/>
          <w:color w:val="000000" w:themeColor="text1"/>
        </w:rPr>
        <w:t>(以下簡稱</w:t>
      </w:r>
      <w:r w:rsidR="007E4033" w:rsidRPr="00BF3F0C">
        <w:rPr>
          <w:rFonts w:ascii="標楷體" w:eastAsia="標楷體" w:hAnsi="標楷體"/>
          <w:color w:val="000000" w:themeColor="text1"/>
        </w:rPr>
        <w:t>本</w:t>
      </w:r>
      <w:r w:rsidR="007E4033" w:rsidRPr="00BF3F0C">
        <w:rPr>
          <w:rFonts w:ascii="標楷體" w:eastAsia="標楷體" w:hAnsi="標楷體" w:hint="eastAsia"/>
          <w:color w:val="000000" w:themeColor="text1"/>
        </w:rPr>
        <w:t>要點</w:t>
      </w:r>
      <w:r w:rsidRPr="00BF3F0C">
        <w:rPr>
          <w:rFonts w:ascii="標楷體" w:eastAsia="標楷體" w:hAnsi="標楷體" w:hint="eastAsia"/>
          <w:color w:val="000000" w:themeColor="text1"/>
        </w:rPr>
        <w:t>)，並組成課程規劃委員會</w:t>
      </w:r>
      <w:r w:rsidRPr="00BF3F0C">
        <w:rPr>
          <w:rFonts w:ascii="標楷體" w:eastAsia="標楷體" w:hAnsi="標楷體"/>
          <w:color w:val="000000" w:themeColor="text1"/>
        </w:rPr>
        <w:t xml:space="preserve"> (</w:t>
      </w:r>
      <w:r w:rsidRPr="00BF3F0C">
        <w:rPr>
          <w:rFonts w:ascii="標楷體" w:eastAsia="標楷體" w:hAnsi="標楷體" w:hint="eastAsia"/>
          <w:color w:val="000000" w:themeColor="text1"/>
        </w:rPr>
        <w:t>以下簡稱本委員會</w:t>
      </w:r>
      <w:r w:rsidRPr="00BF3F0C">
        <w:rPr>
          <w:rFonts w:ascii="標楷體" w:eastAsia="標楷體" w:hAnsi="標楷體"/>
          <w:color w:val="000000" w:themeColor="text1"/>
        </w:rPr>
        <w:t>)</w:t>
      </w:r>
      <w:r w:rsidRPr="00BF3F0C">
        <w:rPr>
          <w:rFonts w:ascii="標楷體" w:eastAsia="標楷體" w:hAnsi="標楷體" w:hint="eastAsia"/>
          <w:color w:val="000000" w:themeColor="text1"/>
        </w:rPr>
        <w:t>。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本院各系、學位學程應依本</w:t>
      </w:r>
      <w:r w:rsidR="00EF73C0" w:rsidRPr="00BF3F0C">
        <w:rPr>
          <w:rFonts w:ascii="標楷體" w:eastAsia="標楷體" w:hAnsi="標楷體" w:hint="eastAsia"/>
          <w:color w:val="000000" w:themeColor="text1"/>
        </w:rPr>
        <w:t>要點</w:t>
      </w:r>
      <w:r w:rsidRPr="00BF3F0C">
        <w:rPr>
          <w:rFonts w:ascii="標楷體" w:eastAsia="標楷體" w:hAnsi="標楷體" w:hint="eastAsia"/>
          <w:color w:val="000000" w:themeColor="text1"/>
        </w:rPr>
        <w:t>訂定其課程規劃委員會</w:t>
      </w:r>
      <w:r w:rsidR="007E4033" w:rsidRPr="00BF3F0C">
        <w:rPr>
          <w:rFonts w:ascii="標楷體" w:eastAsia="標楷體" w:hAnsi="標楷體" w:hint="eastAsia"/>
          <w:color w:val="000000" w:themeColor="text1"/>
        </w:rPr>
        <w:t>設置要點</w:t>
      </w:r>
      <w:r w:rsidRPr="00BF3F0C">
        <w:rPr>
          <w:rFonts w:ascii="標楷體" w:eastAsia="標楷體" w:hAnsi="標楷體" w:hint="eastAsia"/>
          <w:color w:val="000000" w:themeColor="text1"/>
        </w:rPr>
        <w:t>。</w:t>
      </w:r>
    </w:p>
    <w:p w:rsidR="00AA6E5C" w:rsidRPr="00BF3F0C" w:rsidRDefault="00AA6E5C" w:rsidP="00AE5C34">
      <w:pPr>
        <w:spacing w:beforeLines="50" w:before="180"/>
        <w:ind w:left="1440" w:hanging="1440"/>
        <w:rPr>
          <w:rFonts w:ascii="標楷體" w:eastAsia="標楷體" w:hAnsi="標楷體" w:cs="Arial"/>
          <w:color w:val="000000" w:themeColor="text1"/>
        </w:rPr>
      </w:pPr>
      <w:r w:rsidRPr="00BF3F0C">
        <w:rPr>
          <w:rFonts w:ascii="標楷體" w:eastAsia="標楷體" w:hAnsi="標楷體" w:cs="Arial" w:hint="eastAsia"/>
          <w:color w:val="000000" w:themeColor="text1"/>
        </w:rPr>
        <w:t>第二條（職掌）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本委員會職掌如下：</w:t>
      </w:r>
    </w:p>
    <w:p w:rsidR="00AA6E5C" w:rsidRPr="00BF3F0C" w:rsidRDefault="00AA6E5C" w:rsidP="00AA6E5C">
      <w:pPr>
        <w:numPr>
          <w:ilvl w:val="0"/>
          <w:numId w:val="3"/>
        </w:numPr>
        <w:tabs>
          <w:tab w:val="left" w:pos="2700"/>
        </w:tabs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規劃、建議、協調與審查本院應開設之共同課程與通識課程事宜。</w:t>
      </w:r>
    </w:p>
    <w:p w:rsidR="00AA6E5C" w:rsidRPr="00BF3F0C" w:rsidRDefault="00AA6E5C" w:rsidP="00AA6E5C">
      <w:pPr>
        <w:numPr>
          <w:ilvl w:val="0"/>
          <w:numId w:val="3"/>
        </w:numPr>
        <w:tabs>
          <w:tab w:val="left" w:pos="2700"/>
        </w:tabs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代表本院與其他學</w:t>
      </w:r>
      <w:r w:rsidRPr="00BF3F0C">
        <w:rPr>
          <w:rFonts w:eastAsia="標楷體" w:hint="eastAsia"/>
          <w:color w:val="000000" w:themeColor="text1"/>
        </w:rPr>
        <w:t>院</w:t>
      </w:r>
      <w:r w:rsidRPr="00BF3F0C">
        <w:rPr>
          <w:rFonts w:ascii="標楷體" w:eastAsia="標楷體" w:hAnsi="標楷體" w:hint="eastAsia"/>
          <w:color w:val="000000" w:themeColor="text1"/>
        </w:rPr>
        <w:t>協調共同課程與通識課程事宜。</w:t>
      </w:r>
    </w:p>
    <w:p w:rsidR="00AA6E5C" w:rsidRPr="00BF3F0C" w:rsidRDefault="00AA6E5C" w:rsidP="00AA6E5C">
      <w:pPr>
        <w:numPr>
          <w:ilvl w:val="0"/>
          <w:numId w:val="3"/>
        </w:numPr>
        <w:tabs>
          <w:tab w:val="left" w:pos="2700"/>
        </w:tabs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其他有關本院課程規劃、師資協調、課程整合與改進等事宜。</w:t>
      </w:r>
    </w:p>
    <w:p w:rsidR="00AA6E5C" w:rsidRPr="00BF3F0C" w:rsidRDefault="00AA6E5C" w:rsidP="00AE5C34">
      <w:pPr>
        <w:spacing w:beforeLines="50" w:before="180"/>
        <w:ind w:left="1440" w:hanging="1440"/>
        <w:rPr>
          <w:rFonts w:ascii="標楷體" w:eastAsia="標楷體" w:hAnsi="標楷體" w:cs="Arial"/>
          <w:color w:val="000000" w:themeColor="text1"/>
        </w:rPr>
      </w:pPr>
      <w:r w:rsidRPr="00BF3F0C">
        <w:rPr>
          <w:rFonts w:ascii="標楷體" w:eastAsia="標楷體" w:hAnsi="標楷體" w:cs="Arial" w:hint="eastAsia"/>
          <w:color w:val="000000" w:themeColor="text1"/>
        </w:rPr>
        <w:t>第三條（組織）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本委員會由</w:t>
      </w:r>
      <w:r w:rsidRPr="00BF3F0C">
        <w:rPr>
          <w:rFonts w:eastAsia="標楷體" w:hint="eastAsia"/>
          <w:color w:val="000000" w:themeColor="text1"/>
        </w:rPr>
        <w:t>院</w:t>
      </w:r>
      <w:r w:rsidRPr="00BF3F0C">
        <w:rPr>
          <w:rFonts w:ascii="標楷體" w:eastAsia="標楷體" w:hAnsi="標楷體" w:hint="eastAsia"/>
          <w:color w:val="000000" w:themeColor="text1"/>
        </w:rPr>
        <w:t>長、各系、學位學程主任為當然委員，各系、學位學程推選課程規劃委員會委員二名為選任委員</w:t>
      </w:r>
      <w:r w:rsidRPr="00BF3F0C">
        <w:rPr>
          <w:rFonts w:ascii="標楷體" w:eastAsia="標楷體" w:hAnsi="標楷體" w:hint="eastAsia"/>
          <w:b/>
          <w:color w:val="000000" w:themeColor="text1"/>
        </w:rPr>
        <w:t>，</w:t>
      </w:r>
      <w:r w:rsidRPr="00BF3F0C">
        <w:rPr>
          <w:rFonts w:ascii="標楷體" w:eastAsia="標楷體" w:hAnsi="標楷體" w:hint="eastAsia"/>
          <w:color w:val="000000" w:themeColor="text1"/>
          <w:kern w:val="0"/>
        </w:rPr>
        <w:t>另由</w:t>
      </w:r>
      <w:r w:rsidR="00BF3F0C" w:rsidRPr="00BF3F0C">
        <w:rPr>
          <w:rFonts w:ascii="標楷體" w:eastAsia="標楷體" w:hAnsi="標楷體" w:cs="Arial" w:hint="eastAsia"/>
          <w:bCs/>
          <w:color w:val="000000"/>
          <w:u w:val="single"/>
        </w:rPr>
        <w:t>業界代表一名、校外專家學者代表一名、校友代表一名、學生代表一名</w:t>
      </w:r>
      <w:r w:rsidRPr="00BF3F0C">
        <w:rPr>
          <w:rFonts w:ascii="標楷體" w:eastAsia="標楷體" w:hAnsi="標楷體" w:hint="eastAsia"/>
          <w:color w:val="000000" w:themeColor="text1"/>
          <w:kern w:val="0"/>
        </w:rPr>
        <w:t>為聘任委員。</w:t>
      </w:r>
    </w:p>
    <w:p w:rsidR="00AA6E5C" w:rsidRPr="00BF3F0C" w:rsidRDefault="00AA6E5C" w:rsidP="00AE5C34">
      <w:pPr>
        <w:spacing w:beforeLines="50" w:before="180"/>
        <w:ind w:left="1440" w:hanging="1440"/>
        <w:rPr>
          <w:rFonts w:eastAsia="標楷體" w:cs="Arial"/>
          <w:color w:val="000000" w:themeColor="text1"/>
        </w:rPr>
      </w:pPr>
      <w:r w:rsidRPr="00BF3F0C">
        <w:rPr>
          <w:rFonts w:eastAsia="標楷體" w:cs="Arial" w:hint="eastAsia"/>
          <w:color w:val="000000" w:themeColor="text1"/>
        </w:rPr>
        <w:t>第四條（任期）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本委員會由</w:t>
      </w:r>
      <w:r w:rsidRPr="00BF3F0C">
        <w:rPr>
          <w:rFonts w:eastAsia="標楷體" w:hint="eastAsia"/>
          <w:color w:val="000000" w:themeColor="text1"/>
        </w:rPr>
        <w:t>院</w:t>
      </w:r>
      <w:r w:rsidRPr="00BF3F0C">
        <w:rPr>
          <w:rFonts w:ascii="標楷體" w:eastAsia="標楷體" w:hAnsi="標楷體" w:hint="eastAsia"/>
          <w:color w:val="000000" w:themeColor="text1"/>
        </w:rPr>
        <w:t>長擔任召集人，任期為二年。</w:t>
      </w:r>
    </w:p>
    <w:p w:rsidR="00AA6E5C" w:rsidRPr="00BF3F0C" w:rsidRDefault="00AA6E5C" w:rsidP="00AE5C34">
      <w:pPr>
        <w:spacing w:beforeLines="50" w:before="180"/>
        <w:ind w:left="1440" w:hanging="1440"/>
        <w:rPr>
          <w:rFonts w:eastAsia="標楷體" w:cs="Arial"/>
          <w:color w:val="000000" w:themeColor="text1"/>
        </w:rPr>
      </w:pPr>
      <w:r w:rsidRPr="00BF3F0C">
        <w:rPr>
          <w:rFonts w:eastAsia="標楷體" w:cs="Arial" w:hint="eastAsia"/>
          <w:color w:val="000000" w:themeColor="text1"/>
        </w:rPr>
        <w:t>第五條（會議之召開）</w:t>
      </w:r>
    </w:p>
    <w:p w:rsidR="00AA6E5C" w:rsidRPr="00BF3F0C" w:rsidRDefault="00AA6E5C" w:rsidP="00AA6E5C">
      <w:pPr>
        <w:tabs>
          <w:tab w:val="left" w:pos="2700"/>
        </w:tabs>
        <w:ind w:leftChars="75" w:left="18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本委員會每學期至少舉行一次，必要時得由召集人或委員三分之一以上</w:t>
      </w:r>
      <w:bookmarkStart w:id="0" w:name="_GoBack"/>
      <w:bookmarkEnd w:id="0"/>
      <w:r w:rsidRPr="00BF3F0C">
        <w:rPr>
          <w:rFonts w:ascii="標楷體" w:eastAsia="標楷體" w:hAnsi="標楷體" w:hint="eastAsia"/>
          <w:color w:val="000000" w:themeColor="text1"/>
        </w:rPr>
        <w:t>連署提議，召開會議。</w:t>
      </w:r>
    </w:p>
    <w:p w:rsidR="00AA6E5C" w:rsidRPr="00BF3F0C" w:rsidRDefault="00AA6E5C" w:rsidP="00AA6E5C">
      <w:pPr>
        <w:tabs>
          <w:tab w:val="left" w:pos="2700"/>
        </w:tabs>
        <w:ind w:leftChars="75" w:left="18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本委員會得邀請相關人員列席會議。</w:t>
      </w:r>
    </w:p>
    <w:p w:rsidR="00AA6E5C" w:rsidRPr="00BF3F0C" w:rsidRDefault="00AA6E5C" w:rsidP="00AE5C34">
      <w:pPr>
        <w:spacing w:beforeLines="50" w:before="180" w:line="480" w:lineRule="exact"/>
        <w:ind w:left="1440" w:hanging="1440"/>
        <w:rPr>
          <w:rFonts w:ascii="標楷體" w:eastAsia="標楷體" w:hAnsi="標楷體" w:cs="Arial"/>
          <w:color w:val="000000" w:themeColor="text1"/>
        </w:rPr>
      </w:pPr>
      <w:r w:rsidRPr="00BF3F0C">
        <w:rPr>
          <w:rFonts w:ascii="標楷體" w:eastAsia="標楷體" w:hAnsi="標楷體" w:cs="Arial" w:hint="eastAsia"/>
          <w:color w:val="000000" w:themeColor="text1"/>
        </w:rPr>
        <w:t>第六條（會議之決議）</w:t>
      </w:r>
    </w:p>
    <w:p w:rsidR="00AA6E5C" w:rsidRPr="00BF3F0C" w:rsidRDefault="00AA6E5C" w:rsidP="00AA6E5C">
      <w:pPr>
        <w:tabs>
          <w:tab w:val="left" w:pos="2700"/>
        </w:tabs>
        <w:ind w:leftChars="75" w:left="18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本委員會會議應有二分之一以上委員出席，決議以出席委員過半數同意為之。</w:t>
      </w:r>
    </w:p>
    <w:p w:rsidR="00AA6E5C" w:rsidRPr="00BF3F0C" w:rsidRDefault="00AA6E5C" w:rsidP="00AE5C34">
      <w:pPr>
        <w:spacing w:beforeLines="50" w:before="180"/>
        <w:ind w:left="1440" w:hanging="1440"/>
        <w:rPr>
          <w:rFonts w:eastAsia="標楷體" w:cs="Arial"/>
          <w:color w:val="000000" w:themeColor="text1"/>
        </w:rPr>
      </w:pPr>
      <w:r w:rsidRPr="00BF3F0C">
        <w:rPr>
          <w:rFonts w:eastAsia="標楷體" w:cs="Arial" w:hint="eastAsia"/>
          <w:color w:val="000000" w:themeColor="text1"/>
        </w:rPr>
        <w:t>第七條（</w:t>
      </w:r>
      <w:r w:rsidR="007E4DB3" w:rsidRPr="00BF3F0C">
        <w:rPr>
          <w:rFonts w:ascii="標楷體" w:eastAsia="標楷體" w:hAnsi="標楷體" w:hint="eastAsia"/>
          <w:b/>
          <w:color w:val="000000" w:themeColor="text1"/>
        </w:rPr>
        <w:t>要點</w:t>
      </w:r>
      <w:r w:rsidRPr="00BF3F0C">
        <w:rPr>
          <w:rFonts w:eastAsia="標楷體" w:cs="Arial" w:hint="eastAsia"/>
          <w:color w:val="000000" w:themeColor="text1"/>
        </w:rPr>
        <w:t>之修訂）</w:t>
      </w:r>
    </w:p>
    <w:p w:rsidR="00AA6E5C" w:rsidRPr="00BF3F0C" w:rsidRDefault="00AA6E5C" w:rsidP="00AA6E5C">
      <w:pPr>
        <w:tabs>
          <w:tab w:val="left" w:pos="2700"/>
        </w:tabs>
        <w:ind w:leftChars="100" w:left="240"/>
        <w:rPr>
          <w:rFonts w:ascii="標楷體" w:eastAsia="標楷體" w:hAnsi="標楷體"/>
          <w:color w:val="000000" w:themeColor="text1"/>
        </w:rPr>
      </w:pPr>
      <w:r w:rsidRPr="00BF3F0C">
        <w:rPr>
          <w:rFonts w:ascii="標楷體" w:eastAsia="標楷體" w:hAnsi="標楷體" w:hint="eastAsia"/>
          <w:color w:val="000000" w:themeColor="text1"/>
        </w:rPr>
        <w:t>本</w:t>
      </w:r>
      <w:r w:rsidR="00EF73C0" w:rsidRPr="00BF3F0C">
        <w:rPr>
          <w:rFonts w:ascii="標楷體" w:eastAsia="標楷體" w:hAnsi="標楷體" w:hint="eastAsia"/>
          <w:color w:val="000000" w:themeColor="text1"/>
        </w:rPr>
        <w:t>要點</w:t>
      </w:r>
      <w:r w:rsidRPr="00BF3F0C">
        <w:rPr>
          <w:rFonts w:ascii="標楷體" w:eastAsia="標楷體" w:hAnsi="標楷體" w:hint="eastAsia"/>
          <w:color w:val="000000" w:themeColor="text1"/>
        </w:rPr>
        <w:t>經本</w:t>
      </w:r>
      <w:r w:rsidRPr="00BF3F0C">
        <w:rPr>
          <w:rFonts w:eastAsia="標楷體" w:hint="eastAsia"/>
          <w:color w:val="000000" w:themeColor="text1"/>
        </w:rPr>
        <w:t>院院</w:t>
      </w:r>
      <w:r w:rsidRPr="00BF3F0C">
        <w:rPr>
          <w:rFonts w:ascii="標楷體" w:eastAsia="標楷體" w:hAnsi="標楷體" w:hint="eastAsia"/>
          <w:color w:val="000000" w:themeColor="text1"/>
        </w:rPr>
        <w:t>務會議通過，</w:t>
      </w:r>
      <w:r w:rsidR="00BF3F0C" w:rsidRPr="00BF3F0C">
        <w:rPr>
          <w:rFonts w:ascii="標楷體" w:eastAsia="標楷體" w:hAnsi="標楷體" w:cs="Arial" w:hint="eastAsia"/>
          <w:bCs/>
          <w:color w:val="000000"/>
          <w:u w:val="single"/>
        </w:rPr>
        <w:t>送校課程規劃委員會核備，</w:t>
      </w:r>
      <w:r w:rsidR="00DC6985" w:rsidRPr="00BF3F0C">
        <w:rPr>
          <w:rFonts w:ascii="標楷體" w:eastAsia="標楷體" w:hAnsi="標楷體" w:hint="eastAsia"/>
          <w:color w:val="000000" w:themeColor="text1"/>
        </w:rPr>
        <w:t>陳請</w:t>
      </w:r>
      <w:r w:rsidRPr="00BF3F0C">
        <w:rPr>
          <w:rFonts w:ascii="標楷體" w:eastAsia="標楷體" w:hAnsi="標楷體" w:hint="eastAsia"/>
          <w:color w:val="000000" w:themeColor="text1"/>
        </w:rPr>
        <w:t>校長核定後公布實施，修訂時亦同。</w:t>
      </w:r>
    </w:p>
    <w:sectPr w:rsidR="00AA6E5C" w:rsidRPr="00BF3F0C" w:rsidSect="009952B8">
      <w:footerReference w:type="default" r:id="rId7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F7" w:rsidRDefault="00B368F7">
      <w:r>
        <w:separator/>
      </w:r>
    </w:p>
  </w:endnote>
  <w:endnote w:type="continuationSeparator" w:id="0">
    <w:p w:rsidR="00B368F7" w:rsidRDefault="00B3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6887"/>
      <w:docPartObj>
        <w:docPartGallery w:val="Page Numbers (Bottom of Page)"/>
        <w:docPartUnique/>
      </w:docPartObj>
    </w:sdtPr>
    <w:sdtEndPr/>
    <w:sdtContent>
      <w:p w:rsidR="00DF6292" w:rsidRDefault="00473A68">
        <w:pPr>
          <w:pStyle w:val="a7"/>
          <w:jc w:val="center"/>
        </w:pPr>
        <w:r>
          <w:fldChar w:fldCharType="begin"/>
        </w:r>
        <w:r w:rsidR="00DF6292">
          <w:instrText xml:space="preserve"> PAGE   \* MERGEFORMAT </w:instrText>
        </w:r>
        <w:r>
          <w:fldChar w:fldCharType="separate"/>
        </w:r>
        <w:r w:rsidR="00BF3F0C" w:rsidRPr="00BF3F0C">
          <w:rPr>
            <w:noProof/>
            <w:lang w:val="zh-TW"/>
          </w:rPr>
          <w:t>1</w:t>
        </w:r>
        <w:r>
          <w:fldChar w:fldCharType="end"/>
        </w:r>
      </w:p>
    </w:sdtContent>
  </w:sdt>
  <w:p w:rsidR="00A74D1A" w:rsidRDefault="00A74D1A" w:rsidP="00A671D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F7" w:rsidRDefault="00B368F7">
      <w:r>
        <w:separator/>
      </w:r>
    </w:p>
  </w:footnote>
  <w:footnote w:type="continuationSeparator" w:id="0">
    <w:p w:rsidR="00B368F7" w:rsidRDefault="00B3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11C4"/>
    <w:multiLevelType w:val="hybridMultilevel"/>
    <w:tmpl w:val="80DCFCE2"/>
    <w:lvl w:ilvl="0" w:tplc="D8D60A6E">
      <w:start w:val="6"/>
      <w:numFmt w:val="taiwaneseCountingThousand"/>
      <w:lvlText w:val="第%1條"/>
      <w:lvlJc w:val="left"/>
      <w:pPr>
        <w:tabs>
          <w:tab w:val="num" w:pos="1080"/>
        </w:tabs>
        <w:ind w:left="10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29090565"/>
    <w:multiLevelType w:val="hybridMultilevel"/>
    <w:tmpl w:val="5ED0BCF0"/>
    <w:lvl w:ilvl="0" w:tplc="876EF5C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Book Antiqua" w:hAnsi="標楷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4D7C5ED4"/>
    <w:multiLevelType w:val="hybridMultilevel"/>
    <w:tmpl w:val="A61C1214"/>
    <w:lvl w:ilvl="0" w:tplc="53A410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E0E41D2"/>
    <w:multiLevelType w:val="hybridMultilevel"/>
    <w:tmpl w:val="D0DC47F2"/>
    <w:lvl w:ilvl="0" w:tplc="68B8D140">
      <w:start w:val="1"/>
      <w:numFmt w:val="taiwaneseCountingThousand"/>
      <w:pStyle w:val="Level2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34D"/>
    <w:rsid w:val="00000FF4"/>
    <w:rsid w:val="00035499"/>
    <w:rsid w:val="00045D91"/>
    <w:rsid w:val="00083811"/>
    <w:rsid w:val="000937EE"/>
    <w:rsid w:val="000E2EC2"/>
    <w:rsid w:val="00115A8B"/>
    <w:rsid w:val="00134EFF"/>
    <w:rsid w:val="00144B67"/>
    <w:rsid w:val="001767D4"/>
    <w:rsid w:val="001A2459"/>
    <w:rsid w:val="001B34FF"/>
    <w:rsid w:val="001C5C0F"/>
    <w:rsid w:val="001D1E56"/>
    <w:rsid w:val="001F0BF7"/>
    <w:rsid w:val="0025688C"/>
    <w:rsid w:val="00277C1C"/>
    <w:rsid w:val="002B0A00"/>
    <w:rsid w:val="002D02EB"/>
    <w:rsid w:val="003005BF"/>
    <w:rsid w:val="00317E9C"/>
    <w:rsid w:val="0038213B"/>
    <w:rsid w:val="003A28E6"/>
    <w:rsid w:val="003D5FFE"/>
    <w:rsid w:val="003F0CB2"/>
    <w:rsid w:val="00426109"/>
    <w:rsid w:val="004322F4"/>
    <w:rsid w:val="00473A68"/>
    <w:rsid w:val="00480E9F"/>
    <w:rsid w:val="0052330D"/>
    <w:rsid w:val="00534F3F"/>
    <w:rsid w:val="0053690F"/>
    <w:rsid w:val="005732CC"/>
    <w:rsid w:val="005964BA"/>
    <w:rsid w:val="005B0D0C"/>
    <w:rsid w:val="005F6BD8"/>
    <w:rsid w:val="00602156"/>
    <w:rsid w:val="00642AE5"/>
    <w:rsid w:val="00655E20"/>
    <w:rsid w:val="0067682D"/>
    <w:rsid w:val="00683EA9"/>
    <w:rsid w:val="006C0F24"/>
    <w:rsid w:val="006D6216"/>
    <w:rsid w:val="006F4CE0"/>
    <w:rsid w:val="0070791D"/>
    <w:rsid w:val="00754A98"/>
    <w:rsid w:val="007D53F6"/>
    <w:rsid w:val="007E4033"/>
    <w:rsid w:val="007E4DB3"/>
    <w:rsid w:val="00851D67"/>
    <w:rsid w:val="00871762"/>
    <w:rsid w:val="00917478"/>
    <w:rsid w:val="00937EBF"/>
    <w:rsid w:val="00970384"/>
    <w:rsid w:val="009952B8"/>
    <w:rsid w:val="009C51C3"/>
    <w:rsid w:val="00A16FA1"/>
    <w:rsid w:val="00A40F69"/>
    <w:rsid w:val="00A44FEA"/>
    <w:rsid w:val="00A671DE"/>
    <w:rsid w:val="00A74D1A"/>
    <w:rsid w:val="00AA6E5C"/>
    <w:rsid w:val="00AB5780"/>
    <w:rsid w:val="00AB7A4F"/>
    <w:rsid w:val="00AC3EA8"/>
    <w:rsid w:val="00AE5C34"/>
    <w:rsid w:val="00B015CF"/>
    <w:rsid w:val="00B368F7"/>
    <w:rsid w:val="00B65BB9"/>
    <w:rsid w:val="00B85236"/>
    <w:rsid w:val="00B92C62"/>
    <w:rsid w:val="00BA795C"/>
    <w:rsid w:val="00BF3F0C"/>
    <w:rsid w:val="00C05392"/>
    <w:rsid w:val="00C72084"/>
    <w:rsid w:val="00C84A5A"/>
    <w:rsid w:val="00CA29DB"/>
    <w:rsid w:val="00CC5219"/>
    <w:rsid w:val="00CD26B6"/>
    <w:rsid w:val="00CD3FF7"/>
    <w:rsid w:val="00CE07F0"/>
    <w:rsid w:val="00D12AB3"/>
    <w:rsid w:val="00D37037"/>
    <w:rsid w:val="00D435C1"/>
    <w:rsid w:val="00D87251"/>
    <w:rsid w:val="00D91DD8"/>
    <w:rsid w:val="00DA0E1E"/>
    <w:rsid w:val="00DB2A71"/>
    <w:rsid w:val="00DB3DCB"/>
    <w:rsid w:val="00DC37F2"/>
    <w:rsid w:val="00DC6985"/>
    <w:rsid w:val="00DF6292"/>
    <w:rsid w:val="00EA3B48"/>
    <w:rsid w:val="00EC3CE3"/>
    <w:rsid w:val="00EF73C0"/>
    <w:rsid w:val="00F05B9E"/>
    <w:rsid w:val="00F47BB4"/>
    <w:rsid w:val="00FA2497"/>
    <w:rsid w:val="00FB76FE"/>
    <w:rsid w:val="00FC0D3A"/>
    <w:rsid w:val="00FD134D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99B06FD"/>
  <w15:docId w15:val="{4FC75858-818A-489F-ACF3-976EC8F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3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682D"/>
    <w:rPr>
      <w:rFonts w:ascii="Arial" w:hAnsi="Arial"/>
      <w:sz w:val="18"/>
      <w:szCs w:val="18"/>
    </w:rPr>
  </w:style>
  <w:style w:type="paragraph" w:styleId="a5">
    <w:name w:val="Body Text Indent"/>
    <w:basedOn w:val="a"/>
    <w:rsid w:val="009952B8"/>
    <w:pPr>
      <w:snapToGrid w:val="0"/>
      <w:spacing w:line="400" w:lineRule="exact"/>
      <w:ind w:left="960" w:hangingChars="400" w:hanging="960"/>
      <w:jc w:val="both"/>
    </w:pPr>
    <w:rPr>
      <w:rFonts w:ascii="標楷體" w:eastAsia="標楷體"/>
      <w:szCs w:val="20"/>
    </w:rPr>
  </w:style>
  <w:style w:type="paragraph" w:styleId="a6">
    <w:name w:val="header"/>
    <w:basedOn w:val="a"/>
    <w:rsid w:val="00A6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A6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671DE"/>
  </w:style>
  <w:style w:type="paragraph" w:styleId="aa">
    <w:name w:val="Date"/>
    <w:basedOn w:val="a"/>
    <w:next w:val="a"/>
    <w:link w:val="ab"/>
    <w:rsid w:val="00A16FA1"/>
    <w:pPr>
      <w:jc w:val="right"/>
    </w:pPr>
    <w:rPr>
      <w:rFonts w:eastAsia="標楷體"/>
      <w:szCs w:val="20"/>
    </w:rPr>
  </w:style>
  <w:style w:type="character" w:customStyle="1" w:styleId="ab">
    <w:name w:val="日期 字元"/>
    <w:basedOn w:val="a0"/>
    <w:link w:val="aa"/>
    <w:rsid w:val="00A16FA1"/>
    <w:rPr>
      <w:rFonts w:eastAsia="標楷體"/>
      <w:kern w:val="2"/>
      <w:sz w:val="24"/>
    </w:rPr>
  </w:style>
  <w:style w:type="paragraph" w:styleId="ac">
    <w:name w:val="Block Text"/>
    <w:basedOn w:val="a"/>
    <w:rsid w:val="00A16FA1"/>
    <w:pPr>
      <w:snapToGrid w:val="0"/>
      <w:spacing w:line="400" w:lineRule="exact"/>
      <w:ind w:leftChars="150" w:left="360" w:rightChars="50" w:right="120"/>
      <w:jc w:val="both"/>
    </w:pPr>
    <w:rPr>
      <w:rFonts w:eastAsia="標楷體"/>
    </w:rPr>
  </w:style>
  <w:style w:type="character" w:customStyle="1" w:styleId="a8">
    <w:name w:val="頁尾 字元"/>
    <w:basedOn w:val="a0"/>
    <w:link w:val="a7"/>
    <w:uiPriority w:val="99"/>
    <w:rsid w:val="00DF6292"/>
    <w:rPr>
      <w:kern w:val="2"/>
    </w:rPr>
  </w:style>
  <w:style w:type="paragraph" w:customStyle="1" w:styleId="Level2">
    <w:name w:val="Level2"/>
    <w:basedOn w:val="a"/>
    <w:rsid w:val="00AA6E5C"/>
    <w:pPr>
      <w:numPr>
        <w:numId w:val="4"/>
      </w:numPr>
    </w:pPr>
    <w:rPr>
      <w:rFonts w:eastAsia="標楷體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>tm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德明財經科技大學財金學院教師升等辦法修訂</dc:title>
  <dc:creator>wphsiu</dc:creator>
  <cp:lastModifiedBy>周坤約</cp:lastModifiedBy>
  <cp:revision>5</cp:revision>
  <cp:lastPrinted>2012-08-29T01:29:00Z</cp:lastPrinted>
  <dcterms:created xsi:type="dcterms:W3CDTF">2016-07-19T06:42:00Z</dcterms:created>
  <dcterms:modified xsi:type="dcterms:W3CDTF">2019-12-09T01:36:00Z</dcterms:modified>
</cp:coreProperties>
</file>