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E78" w:rsidRDefault="004B2E78" w:rsidP="00570117">
      <w:pPr>
        <w:snapToGrid w:val="0"/>
        <w:spacing w:beforeLines="50" w:before="180"/>
        <w:ind w:left="1440" w:hanging="1440"/>
        <w:rPr>
          <w:rFonts w:ascii="標楷體" w:eastAsia="標楷體" w:hAnsi="標楷體"/>
          <w:sz w:val="28"/>
          <w:szCs w:val="28"/>
        </w:rPr>
      </w:pPr>
      <w:r>
        <w:rPr>
          <w:rFonts w:ascii="標楷體" w:eastAsia="標楷體" w:hAnsi="標楷體" w:hint="eastAsia"/>
          <w:sz w:val="28"/>
          <w:szCs w:val="28"/>
        </w:rPr>
        <w:t>德明財經科技大學</w:t>
      </w:r>
      <w:bookmarkStart w:id="0" w:name="_Hlk56419786"/>
      <w:r w:rsidR="009635CE" w:rsidRPr="009635CE">
        <w:rPr>
          <w:rFonts w:ascii="標楷體" w:eastAsia="標楷體" w:hAnsi="標楷體" w:hint="eastAsia"/>
          <w:sz w:val="28"/>
          <w:szCs w:val="28"/>
        </w:rPr>
        <w:t>風險管理與財富規劃</w:t>
      </w:r>
      <w:bookmarkEnd w:id="0"/>
      <w:r>
        <w:rPr>
          <w:rFonts w:ascii="標楷體" w:eastAsia="標楷體" w:hAnsi="標楷體" w:hint="eastAsia"/>
          <w:sz w:val="28"/>
          <w:szCs w:val="28"/>
        </w:rPr>
        <w:t>系教師研究成果評量要點</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中華民國九十六年一月九日系教評會訂定</w:t>
      </w:r>
    </w:p>
    <w:p w:rsidR="00FE1B1D" w:rsidRPr="00570117" w:rsidRDefault="00570117" w:rsidP="00570117">
      <w:pPr>
        <w:pStyle w:val="a9"/>
        <w:ind w:firstLine="0"/>
        <w:rPr>
          <w:rFonts w:ascii="標楷體" w:hAnsi="標楷體"/>
          <w:color w:val="auto"/>
          <w:sz w:val="18"/>
          <w:szCs w:val="18"/>
        </w:rPr>
      </w:pPr>
      <w:r>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中華民國九十六年九月十八日系教評會修訂通過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中華民國九十七年三月十一日院教評會審議通過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中華民國九十七年五月六日系教評會修訂通過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中華民國九十七年五月十三日院教評會議通過修訂</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中華民國九十七年六月</w:t>
      </w:r>
      <w:bookmarkStart w:id="1" w:name="_Hlk56419953"/>
      <w:r w:rsidR="00FE1B1D" w:rsidRPr="00570117">
        <w:rPr>
          <w:rFonts w:ascii="標楷體" w:hAnsi="標楷體" w:hint="eastAsia"/>
          <w:color w:val="auto"/>
          <w:sz w:val="18"/>
          <w:szCs w:val="18"/>
        </w:rPr>
        <w:t>十七</w:t>
      </w:r>
      <w:bookmarkEnd w:id="1"/>
      <w:r w:rsidR="00FE1B1D" w:rsidRPr="00570117">
        <w:rPr>
          <w:rFonts w:ascii="標楷體" w:hAnsi="標楷體" w:hint="eastAsia"/>
          <w:color w:val="auto"/>
          <w:sz w:val="18"/>
          <w:szCs w:val="18"/>
        </w:rPr>
        <w:t>日校教評會議修正通過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中華民國一○一年四月二十三日系教評會修訂通過</w:t>
      </w:r>
      <w:bookmarkStart w:id="2" w:name="_GoBack"/>
      <w:bookmarkEnd w:id="2"/>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中華民國一○一年五月十五日院教評會修訂通過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中華民國一○一年七月二十四日校教評會修訂通過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中華民國一○四年四月八日系教評會修訂通過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中華民國一○四年七月九日系教評會修訂通過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中華民國一○四年七月十六日院教評會修訂通過</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中華民國一○四年七月二十三日校教評會修訂通過</w:t>
      </w:r>
    </w:p>
    <w:p w:rsidR="00FE1B1D" w:rsidRPr="00570117" w:rsidRDefault="00570117" w:rsidP="00570117">
      <w:pPr>
        <w:pStyle w:val="a9"/>
        <w:ind w:firstLine="0"/>
        <w:rPr>
          <w:rFonts w:ascii="標楷體" w:hAnsi="標楷體"/>
          <w:color w:val="auto"/>
          <w:sz w:val="18"/>
          <w:szCs w:val="18"/>
        </w:rPr>
      </w:pPr>
      <w:bookmarkStart w:id="3" w:name="_Hlk56419899"/>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中華民國一○五年六月一日系教評會修訂通過</w:t>
      </w:r>
      <w:bookmarkEnd w:id="3"/>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中華民國一○五年六月七日院教評會修訂通過</w:t>
      </w:r>
    </w:p>
    <w:p w:rsidR="00FE1B1D" w:rsidRPr="00570117" w:rsidRDefault="00570117" w:rsidP="00570117">
      <w:pPr>
        <w:pStyle w:val="a9"/>
        <w:ind w:firstLine="0"/>
        <w:rPr>
          <w:rFonts w:ascii="標楷體" w:hAnsi="標楷體"/>
          <w:color w:val="auto"/>
          <w:sz w:val="18"/>
          <w:szCs w:val="18"/>
        </w:rPr>
      </w:pPr>
      <w:bookmarkStart w:id="4" w:name="_Hlk56419876"/>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中華民國一○五年六月</w:t>
      </w:r>
      <w:bookmarkStart w:id="5" w:name="_Hlk67583498"/>
      <w:r w:rsidR="00FE1B1D" w:rsidRPr="00570117">
        <w:rPr>
          <w:rFonts w:ascii="標楷體" w:hAnsi="標楷體" w:hint="eastAsia"/>
          <w:color w:val="auto"/>
          <w:sz w:val="18"/>
          <w:szCs w:val="18"/>
        </w:rPr>
        <w:t>二十七</w:t>
      </w:r>
      <w:bookmarkEnd w:id="5"/>
      <w:r w:rsidR="00FE1B1D" w:rsidRPr="00570117">
        <w:rPr>
          <w:rFonts w:ascii="標楷體" w:hAnsi="標楷體" w:hint="eastAsia"/>
          <w:color w:val="auto"/>
          <w:sz w:val="18"/>
          <w:szCs w:val="18"/>
        </w:rPr>
        <w:t>日校教評會修訂通過</w:t>
      </w:r>
      <w:bookmarkEnd w:id="4"/>
    </w:p>
    <w:p w:rsidR="005462C3"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FE1B1D" w:rsidRPr="00570117">
        <w:rPr>
          <w:rFonts w:ascii="標楷體" w:hAnsi="標楷體" w:hint="eastAsia"/>
          <w:color w:val="auto"/>
          <w:sz w:val="18"/>
          <w:szCs w:val="18"/>
        </w:rPr>
        <w:t>中華民國一○</w:t>
      </w:r>
      <w:r w:rsidR="00DC00BE" w:rsidRPr="00570117">
        <w:rPr>
          <w:rFonts w:ascii="標楷體" w:hAnsi="標楷體" w:hint="eastAsia"/>
          <w:color w:val="auto"/>
          <w:sz w:val="18"/>
          <w:szCs w:val="18"/>
        </w:rPr>
        <w:t>九</w:t>
      </w:r>
      <w:r w:rsidR="00FE1B1D" w:rsidRPr="00570117">
        <w:rPr>
          <w:rFonts w:ascii="標楷體" w:hAnsi="標楷體" w:hint="eastAsia"/>
          <w:color w:val="auto"/>
          <w:sz w:val="18"/>
          <w:szCs w:val="18"/>
        </w:rPr>
        <w:t>年</w:t>
      </w:r>
      <w:r w:rsidR="00DC00BE" w:rsidRPr="00570117">
        <w:rPr>
          <w:rFonts w:ascii="標楷體" w:hAnsi="標楷體" w:hint="eastAsia"/>
          <w:color w:val="auto"/>
          <w:sz w:val="18"/>
          <w:szCs w:val="18"/>
        </w:rPr>
        <w:t>十一</w:t>
      </w:r>
      <w:r w:rsidR="00FE1B1D" w:rsidRPr="00570117">
        <w:rPr>
          <w:rFonts w:ascii="標楷體" w:hAnsi="標楷體" w:hint="eastAsia"/>
          <w:color w:val="auto"/>
          <w:sz w:val="18"/>
          <w:szCs w:val="18"/>
        </w:rPr>
        <w:t>月</w:t>
      </w:r>
      <w:r w:rsidR="00DC00BE" w:rsidRPr="00570117">
        <w:rPr>
          <w:rFonts w:ascii="標楷體" w:hAnsi="標楷體" w:hint="eastAsia"/>
          <w:color w:val="auto"/>
          <w:sz w:val="18"/>
          <w:szCs w:val="18"/>
        </w:rPr>
        <w:t>十七</w:t>
      </w:r>
      <w:r w:rsidR="00FE1B1D" w:rsidRPr="00570117">
        <w:rPr>
          <w:rFonts w:ascii="標楷體" w:hAnsi="標楷體" w:hint="eastAsia"/>
          <w:color w:val="auto"/>
          <w:sz w:val="18"/>
          <w:szCs w:val="18"/>
        </w:rPr>
        <w:t>日系教評會修訂</w:t>
      </w:r>
    </w:p>
    <w:p w:rsidR="00FE1B1D"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5462C3" w:rsidRPr="00570117">
        <w:rPr>
          <w:rFonts w:ascii="標楷體" w:hAnsi="標楷體" w:hint="eastAsia"/>
          <w:color w:val="auto"/>
          <w:sz w:val="18"/>
          <w:szCs w:val="18"/>
        </w:rPr>
        <w:t>中華民國一○九年十二月二十八日院教評會議通過修訂</w:t>
      </w:r>
    </w:p>
    <w:p w:rsidR="00AF3DCA"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AF3DCA" w:rsidRPr="00570117">
        <w:rPr>
          <w:rFonts w:ascii="標楷體" w:hAnsi="標楷體" w:hint="eastAsia"/>
          <w:color w:val="auto"/>
          <w:sz w:val="18"/>
          <w:szCs w:val="18"/>
        </w:rPr>
        <w:t>中華民國一一○年二月十八日院教評會通過修訂</w:t>
      </w:r>
    </w:p>
    <w:p w:rsidR="00AF3DCA" w:rsidRPr="00570117" w:rsidRDefault="00570117" w:rsidP="00570117">
      <w:pPr>
        <w:pStyle w:val="a9"/>
        <w:ind w:firstLine="0"/>
        <w:rPr>
          <w:rFonts w:ascii="標楷體" w:hAnsi="標楷體"/>
          <w:color w:val="auto"/>
          <w:sz w:val="18"/>
          <w:szCs w:val="18"/>
        </w:rPr>
      </w:pPr>
      <w:r w:rsidRPr="00570117">
        <w:rPr>
          <w:rFonts w:ascii="標楷體" w:hAnsi="標楷體" w:hint="eastAsia"/>
          <w:color w:val="auto"/>
          <w:sz w:val="18"/>
          <w:szCs w:val="18"/>
        </w:rPr>
        <w:t xml:space="preserve">     </w:t>
      </w:r>
      <w:r w:rsidR="00AF3DCA" w:rsidRPr="00570117">
        <w:rPr>
          <w:rFonts w:ascii="標楷體" w:hAnsi="標楷體" w:hint="eastAsia"/>
          <w:color w:val="auto"/>
          <w:sz w:val="18"/>
          <w:szCs w:val="18"/>
        </w:rPr>
        <w:t>中華民國</w:t>
      </w:r>
      <w:bookmarkStart w:id="6" w:name="_Hlk67583479"/>
      <w:r w:rsidR="00AF3DCA" w:rsidRPr="00570117">
        <w:rPr>
          <w:rFonts w:ascii="標楷體" w:hAnsi="標楷體" w:hint="eastAsia"/>
          <w:color w:val="auto"/>
          <w:sz w:val="18"/>
          <w:szCs w:val="18"/>
        </w:rPr>
        <w:t>一一○年三月三日</w:t>
      </w:r>
      <w:bookmarkEnd w:id="6"/>
      <w:r w:rsidR="00AF3DCA" w:rsidRPr="00570117">
        <w:rPr>
          <w:rFonts w:ascii="標楷體" w:hAnsi="標楷體" w:hint="eastAsia"/>
          <w:color w:val="auto"/>
          <w:sz w:val="18"/>
          <w:szCs w:val="18"/>
        </w:rPr>
        <w:t>校教評會修</w:t>
      </w:r>
      <w:r w:rsidRPr="00570117">
        <w:rPr>
          <w:rFonts w:ascii="標楷體" w:hAnsi="標楷體" w:hint="eastAsia"/>
          <w:color w:val="auto"/>
          <w:sz w:val="18"/>
          <w:szCs w:val="18"/>
        </w:rPr>
        <w:t>訂通過暨一一○年三月二十五日</w:t>
      </w:r>
      <w:proofErr w:type="gramStart"/>
      <w:r w:rsidRPr="00570117">
        <w:rPr>
          <w:rFonts w:ascii="標楷體" w:hAnsi="標楷體" w:hint="eastAsia"/>
          <w:color w:val="auto"/>
          <w:sz w:val="18"/>
          <w:szCs w:val="18"/>
        </w:rPr>
        <w:t>德風富</w:t>
      </w:r>
      <w:proofErr w:type="gramEnd"/>
      <w:r w:rsidRPr="00570117">
        <w:rPr>
          <w:rFonts w:ascii="標楷體" w:hAnsi="標楷體" w:hint="eastAsia"/>
          <w:color w:val="auto"/>
          <w:sz w:val="18"/>
          <w:szCs w:val="18"/>
        </w:rPr>
        <w:t>字第1100002825號</w:t>
      </w:r>
    </w:p>
    <w:p w:rsidR="00AF3DCA" w:rsidRPr="00570117" w:rsidRDefault="00AF3DCA" w:rsidP="00DC00BE">
      <w:pPr>
        <w:pStyle w:val="a9"/>
        <w:rPr>
          <w:color w:val="auto"/>
        </w:rPr>
      </w:pPr>
    </w:p>
    <w:p w:rsidR="00FE1B1D" w:rsidRPr="00FE1B1D" w:rsidRDefault="00FE1B1D" w:rsidP="004B2E78">
      <w:pPr>
        <w:snapToGrid w:val="0"/>
        <w:spacing w:beforeLines="50" w:before="180"/>
        <w:ind w:left="1440" w:hanging="1440"/>
        <w:jc w:val="center"/>
        <w:rPr>
          <w:rFonts w:ascii="Book Antiqua" w:hAnsi="Book Antiqua"/>
          <w:sz w:val="28"/>
          <w:szCs w:val="28"/>
        </w:rPr>
      </w:pPr>
    </w:p>
    <w:p w:rsidR="004B2E78" w:rsidRDefault="004B2E78" w:rsidP="004B2E78">
      <w:pPr>
        <w:numPr>
          <w:ilvl w:val="0"/>
          <w:numId w:val="1"/>
        </w:numPr>
        <w:ind w:left="1441" w:hanging="1441"/>
        <w:rPr>
          <w:rFonts w:ascii="Book Antiqua" w:hAnsi="Book Antiqua"/>
          <w:b/>
          <w:bCs/>
        </w:rPr>
      </w:pPr>
      <w:r>
        <w:rPr>
          <w:rFonts w:ascii="Book Antiqua" w:hAnsi="Book Antiqua"/>
          <w:b/>
          <w:bCs/>
        </w:rPr>
        <w:t>(</w:t>
      </w:r>
      <w:r>
        <w:rPr>
          <w:rFonts w:ascii="標楷體" w:eastAsia="標楷體" w:hAnsi="標楷體" w:hint="eastAsia"/>
          <w:b/>
          <w:bCs/>
        </w:rPr>
        <w:t>依據</w:t>
      </w:r>
      <w:r>
        <w:rPr>
          <w:rFonts w:ascii="Book Antiqua" w:hAnsi="Book Antiqua"/>
          <w:b/>
          <w:bCs/>
        </w:rPr>
        <w:t>)</w:t>
      </w:r>
    </w:p>
    <w:p w:rsidR="004B2E78" w:rsidRDefault="004B2E78" w:rsidP="004B2E78">
      <w:pPr>
        <w:spacing w:afterLines="50" w:after="180"/>
        <w:ind w:leftChars="300" w:left="720"/>
        <w:rPr>
          <w:rFonts w:ascii="Book Antiqua" w:hAnsi="Book Antiqua"/>
        </w:rPr>
      </w:pPr>
      <w:r>
        <w:rPr>
          <w:rFonts w:ascii="標楷體" w:eastAsia="標楷體" w:hAnsi="標楷體" w:hint="eastAsia"/>
        </w:rPr>
        <w:t>德明財經科技大學</w:t>
      </w:r>
      <w:r w:rsidR="009635CE" w:rsidRPr="009635CE">
        <w:rPr>
          <w:rFonts w:ascii="標楷體" w:eastAsia="標楷體" w:hAnsi="標楷體" w:hint="eastAsia"/>
        </w:rPr>
        <w:t>風險管理與財富規劃</w:t>
      </w:r>
      <w:r>
        <w:rPr>
          <w:rFonts w:ascii="標楷體" w:eastAsia="標楷體" w:hAnsi="標楷體" w:hint="eastAsia"/>
        </w:rPr>
        <w:t>系</w:t>
      </w:r>
      <w:r>
        <w:rPr>
          <w:rFonts w:ascii="Book Antiqua" w:hAnsi="Book Antiqua"/>
        </w:rPr>
        <w:t>(</w:t>
      </w:r>
      <w:r>
        <w:rPr>
          <w:rFonts w:ascii="標楷體" w:eastAsia="標楷體" w:hAnsi="標楷體" w:hint="eastAsia"/>
        </w:rPr>
        <w:t>以下簡稱本</w:t>
      </w:r>
      <w:bookmarkStart w:id="7" w:name="_Hlk54079279"/>
      <w:r>
        <w:rPr>
          <w:rFonts w:ascii="標楷體" w:eastAsia="標楷體" w:hAnsi="標楷體" w:hint="eastAsia"/>
          <w:b/>
          <w:bCs/>
        </w:rPr>
        <w:t>系</w:t>
      </w:r>
      <w:r>
        <w:rPr>
          <w:rFonts w:ascii="Book Antiqua" w:hAnsi="Book Antiqua"/>
        </w:rPr>
        <w:t>)</w:t>
      </w:r>
      <w:bookmarkEnd w:id="7"/>
      <w:r>
        <w:rPr>
          <w:rFonts w:ascii="標楷體" w:eastAsia="標楷體" w:hAnsi="標楷體" w:hint="eastAsia"/>
        </w:rPr>
        <w:t>依據本校教師升等規定第五條訂定本系教師研究成果評量要點</w:t>
      </w:r>
      <w:r>
        <w:rPr>
          <w:rFonts w:ascii="Book Antiqua" w:hAnsi="Book Antiqua"/>
        </w:rPr>
        <w:t xml:space="preserve"> (</w:t>
      </w:r>
      <w:r>
        <w:rPr>
          <w:rFonts w:ascii="標楷體" w:eastAsia="標楷體" w:hAnsi="標楷體" w:hint="eastAsia"/>
        </w:rPr>
        <w:t>以下簡稱本要點</w:t>
      </w:r>
      <w:r>
        <w:rPr>
          <w:rFonts w:ascii="Book Antiqua" w:hAnsi="Book Antiqua"/>
        </w:rPr>
        <w:t>)</w:t>
      </w:r>
      <w:r>
        <w:rPr>
          <w:rFonts w:ascii="標楷體" w:eastAsia="標楷體" w:hAnsi="標楷體" w:hint="eastAsia"/>
        </w:rPr>
        <w:t>，以為教師升等評量研究成果之依據。</w:t>
      </w:r>
    </w:p>
    <w:p w:rsidR="004B2E78" w:rsidRDefault="004B2E78" w:rsidP="004B2E78">
      <w:pPr>
        <w:ind w:left="1441" w:hanging="1441"/>
        <w:rPr>
          <w:rFonts w:ascii="Book Antiqua" w:hAnsi="Book Antiqua"/>
          <w:b/>
          <w:bCs/>
        </w:rPr>
      </w:pPr>
      <w:r>
        <w:rPr>
          <w:rFonts w:ascii="標楷體" w:eastAsia="標楷體" w:hAnsi="標楷體" w:hint="eastAsia"/>
          <w:b/>
          <w:bCs/>
        </w:rPr>
        <w:t>第二條</w:t>
      </w:r>
      <w:r>
        <w:rPr>
          <w:rFonts w:ascii="Book Antiqua" w:hAnsi="Book Antiqua"/>
          <w:b/>
          <w:bCs/>
        </w:rPr>
        <w:t xml:space="preserve"> (</w:t>
      </w:r>
      <w:r>
        <w:rPr>
          <w:rFonts w:ascii="標楷體" w:eastAsia="標楷體" w:hAnsi="標楷體" w:hint="eastAsia"/>
          <w:b/>
          <w:bCs/>
        </w:rPr>
        <w:t>類別</w:t>
      </w:r>
      <w:r>
        <w:rPr>
          <w:rFonts w:ascii="Book Antiqua" w:hAnsi="Book Antiqua"/>
          <w:b/>
          <w:bCs/>
        </w:rPr>
        <w:t xml:space="preserve">)                              </w:t>
      </w:r>
    </w:p>
    <w:p w:rsidR="004B2E78" w:rsidRDefault="004B2E78" w:rsidP="004B2E78">
      <w:pPr>
        <w:spacing w:afterLines="50" w:after="180"/>
        <w:ind w:leftChars="300" w:left="720"/>
        <w:rPr>
          <w:rFonts w:ascii="Times New Roman" w:hAnsi="Times New Roman" w:cs="Times New Roman"/>
        </w:rPr>
      </w:pPr>
      <w:r>
        <w:rPr>
          <w:rFonts w:ascii="標楷體" w:eastAsia="標楷體" w:hAnsi="標楷體" w:hint="eastAsia"/>
        </w:rPr>
        <w:t>本要點所稱類別，係指本校教師升等規定第二條所指學術升等及實務升等兩類中之各升等方式。</w:t>
      </w:r>
    </w:p>
    <w:p w:rsidR="00EC060F" w:rsidRPr="00EC060F" w:rsidRDefault="00EC060F" w:rsidP="00EC060F">
      <w:pPr>
        <w:ind w:left="1441" w:hanging="1441"/>
        <w:rPr>
          <w:rFonts w:ascii="Book Antiqua" w:hAnsi="Book Antiqua"/>
          <w:b/>
          <w:bCs/>
        </w:rPr>
      </w:pPr>
      <w:r w:rsidRPr="00EC060F">
        <w:rPr>
          <w:rFonts w:ascii="標楷體" w:eastAsia="標楷體" w:hAnsi="標楷體" w:hint="eastAsia"/>
          <w:b/>
          <w:bCs/>
        </w:rPr>
        <w:t>第三條</w:t>
      </w:r>
      <w:r w:rsidRPr="00EC060F">
        <w:rPr>
          <w:rFonts w:ascii="Book Antiqua" w:hAnsi="Book Antiqua"/>
          <w:b/>
          <w:bCs/>
        </w:rPr>
        <w:t xml:space="preserve"> (</w:t>
      </w:r>
      <w:r w:rsidRPr="00EC060F">
        <w:rPr>
          <w:rFonts w:ascii="標楷體" w:eastAsia="標楷體" w:hAnsi="標楷體" w:hint="eastAsia"/>
          <w:b/>
          <w:bCs/>
        </w:rPr>
        <w:t>升等基本門檻</w:t>
      </w:r>
      <w:r w:rsidRPr="00EC060F">
        <w:rPr>
          <w:rFonts w:ascii="Book Antiqua" w:hAnsi="Book Antiqua"/>
          <w:b/>
          <w:bCs/>
        </w:rPr>
        <w:t xml:space="preserve">)               </w:t>
      </w:r>
    </w:p>
    <w:p w:rsidR="00EC060F" w:rsidRPr="00EC060F" w:rsidRDefault="00EC060F" w:rsidP="00EC060F">
      <w:pPr>
        <w:spacing w:afterLines="50" w:after="180"/>
        <w:ind w:leftChars="300" w:left="720"/>
        <w:rPr>
          <w:rFonts w:ascii="Book Antiqua" w:hAnsi="Book Antiqua"/>
          <w:b/>
          <w:u w:val="single"/>
        </w:rPr>
      </w:pPr>
      <w:r w:rsidRPr="00EC060F">
        <w:rPr>
          <w:rFonts w:ascii="標楷體" w:eastAsia="標楷體" w:hAnsi="標楷體" w:hint="eastAsia"/>
        </w:rPr>
        <w:t>申請升等教師</w:t>
      </w:r>
      <w:r w:rsidRPr="00EC060F">
        <w:rPr>
          <w:rFonts w:ascii="標楷體" w:eastAsia="標楷體" w:hAnsi="標楷體" w:hint="eastAsia"/>
          <w:b/>
          <w:u w:val="single"/>
        </w:rPr>
        <w:t>除應符合本校教師升等規定第三條之基本資格外，研究應包括一</w:t>
      </w:r>
      <w:r w:rsidRPr="00EC060F">
        <w:rPr>
          <w:rFonts w:ascii="標楷體" w:eastAsia="標楷體" w:hAnsi="標楷體" w:hint="eastAsia"/>
          <w:b/>
          <w:color w:val="FF0000"/>
          <w:highlight w:val="yellow"/>
          <w:u w:val="single"/>
        </w:rPr>
        <w:t>件</w:t>
      </w:r>
      <w:r w:rsidRPr="00EC060F">
        <w:rPr>
          <w:rFonts w:ascii="標楷體" w:eastAsia="標楷體" w:hAnsi="標楷體" w:hint="eastAsia"/>
          <w:b/>
          <w:u w:val="single"/>
        </w:rPr>
        <w:t>代表著作，著作合計</w:t>
      </w:r>
      <w:r w:rsidRPr="00EC060F">
        <w:rPr>
          <w:rFonts w:ascii="標楷體" w:eastAsia="標楷體" w:hAnsi="標楷體" w:hint="eastAsia"/>
          <w:b/>
          <w:color w:val="FF0000"/>
          <w:highlight w:val="yellow"/>
          <w:u w:val="single"/>
        </w:rPr>
        <w:t>至多</w:t>
      </w:r>
      <w:r w:rsidRPr="00EC060F">
        <w:rPr>
          <w:rFonts w:ascii="標楷體" w:eastAsia="標楷體" w:hAnsi="標楷體" w:hint="eastAsia"/>
          <w:b/>
          <w:u w:val="single"/>
        </w:rPr>
        <w:t>五</w:t>
      </w:r>
      <w:r w:rsidRPr="00EC060F">
        <w:rPr>
          <w:rFonts w:ascii="標楷體" w:eastAsia="標楷體" w:hAnsi="標楷體" w:hint="eastAsia"/>
          <w:b/>
          <w:color w:val="FF0000"/>
          <w:highlight w:val="yellow"/>
          <w:u w:val="single"/>
        </w:rPr>
        <w:t>件</w:t>
      </w:r>
      <w:r w:rsidRPr="00EC060F">
        <w:rPr>
          <w:rFonts w:ascii="標楷體" w:eastAsia="標楷體" w:hAnsi="標楷體" w:hint="eastAsia"/>
        </w:rPr>
        <w:t>。</w:t>
      </w:r>
    </w:p>
    <w:p w:rsidR="00EC060F" w:rsidRPr="00EC060F" w:rsidRDefault="00EC060F" w:rsidP="00EC060F">
      <w:pPr>
        <w:spacing w:afterLines="50" w:after="180"/>
        <w:ind w:leftChars="300" w:left="720"/>
        <w:rPr>
          <w:rFonts w:ascii="Book Antiqua" w:hAnsi="Book Antiqua"/>
          <w:b/>
          <w:u w:val="single"/>
        </w:rPr>
      </w:pPr>
      <w:r w:rsidRPr="00EC060F">
        <w:rPr>
          <w:rFonts w:ascii="標楷體" w:eastAsia="標楷體" w:hAnsi="標楷體" w:hint="eastAsia"/>
          <w:b/>
          <w:color w:val="FF0000"/>
          <w:highlight w:val="yellow"/>
          <w:u w:val="single"/>
        </w:rPr>
        <w:t>除學位論文外，著作或作品應以學校名義發表</w:t>
      </w:r>
      <w:r w:rsidRPr="00EC060F">
        <w:rPr>
          <w:rFonts w:ascii="標楷體" w:eastAsia="標楷體" w:hAnsi="標楷體" w:hint="eastAsia"/>
        </w:rPr>
        <w:t>。</w:t>
      </w:r>
    </w:p>
    <w:p w:rsidR="00EC060F" w:rsidRPr="00EC060F" w:rsidRDefault="00EC060F" w:rsidP="00EC060F">
      <w:pPr>
        <w:rPr>
          <w:rFonts w:ascii="Book Antiqua" w:hAnsi="Book Antiqua"/>
          <w:b/>
          <w:bCs/>
          <w:u w:val="single"/>
        </w:rPr>
      </w:pPr>
      <w:r w:rsidRPr="00EC060F">
        <w:rPr>
          <w:rFonts w:ascii="標楷體" w:eastAsia="標楷體" w:hAnsi="標楷體" w:hint="eastAsia"/>
          <w:b/>
          <w:bCs/>
          <w:u w:val="single"/>
        </w:rPr>
        <w:t>第四條</w:t>
      </w:r>
      <w:r w:rsidRPr="00EC060F">
        <w:rPr>
          <w:rFonts w:ascii="Book Antiqua" w:hAnsi="Book Antiqua"/>
          <w:b/>
          <w:bCs/>
          <w:u w:val="single"/>
        </w:rPr>
        <w:t xml:space="preserve"> (</w:t>
      </w:r>
      <w:r w:rsidRPr="00EC060F">
        <w:rPr>
          <w:rFonts w:ascii="標楷體" w:eastAsia="標楷體" w:hAnsi="標楷體" w:hint="eastAsia"/>
          <w:b/>
          <w:bCs/>
          <w:u w:val="single"/>
        </w:rPr>
        <w:t>以專門著作升等之基本門檻</w:t>
      </w:r>
      <w:r w:rsidRPr="00EC060F">
        <w:rPr>
          <w:rFonts w:ascii="Book Antiqua" w:hAnsi="Book Antiqua"/>
          <w:b/>
          <w:bCs/>
          <w:u w:val="single"/>
        </w:rPr>
        <w:t>)</w:t>
      </w:r>
    </w:p>
    <w:p w:rsidR="00EC060F" w:rsidRPr="00EC060F" w:rsidRDefault="00EC060F" w:rsidP="00EC060F">
      <w:pPr>
        <w:spacing w:afterLines="50" w:after="180"/>
        <w:ind w:leftChars="300" w:left="720"/>
        <w:rPr>
          <w:rFonts w:ascii="標楷體" w:eastAsia="標楷體" w:hAnsi="標楷體"/>
          <w:b/>
          <w:sz w:val="48"/>
          <w:szCs w:val="48"/>
          <w:u w:val="single"/>
        </w:rPr>
      </w:pPr>
      <w:r w:rsidRPr="00EC060F">
        <w:rPr>
          <w:rFonts w:ascii="標楷體" w:eastAsia="標楷體" w:hAnsi="標楷體" w:hint="eastAsia"/>
          <w:b/>
          <w:u w:val="single"/>
        </w:rPr>
        <w:lastRenderedPageBreak/>
        <w:t>升等教授者</w:t>
      </w:r>
      <w:r w:rsidRPr="00EC060F">
        <w:rPr>
          <w:rFonts w:ascii="標楷體" w:eastAsia="標楷體" w:hAnsi="標楷體" w:hint="eastAsia"/>
        </w:rPr>
        <w:t>，代表作須為</w:t>
      </w:r>
      <w:r w:rsidRPr="00EC060F">
        <w:rPr>
          <w:rFonts w:ascii="Book Antiqua" w:hAnsi="Book Antiqua"/>
        </w:rPr>
        <w:t>A</w:t>
      </w:r>
      <w:r w:rsidRPr="00EC060F">
        <w:rPr>
          <w:rFonts w:ascii="標楷體" w:eastAsia="標楷體" w:hAnsi="標楷體" w:hint="eastAsia"/>
        </w:rPr>
        <w:t>級著作且是單一作者，參考著作中至少須有</w:t>
      </w:r>
      <w:r w:rsidRPr="00EC060F">
        <w:rPr>
          <w:rFonts w:ascii="標楷體" w:eastAsia="標楷體" w:hAnsi="標楷體" w:hint="eastAsia"/>
          <w:b/>
          <w:u w:val="single"/>
        </w:rPr>
        <w:t>一</w:t>
      </w:r>
      <w:r w:rsidRPr="00EC060F">
        <w:rPr>
          <w:rFonts w:ascii="標楷體" w:eastAsia="標楷體" w:hAnsi="標楷體" w:hint="eastAsia"/>
          <w:b/>
          <w:color w:val="FF0000"/>
          <w:highlight w:val="yellow"/>
          <w:u w:val="single"/>
        </w:rPr>
        <w:t>件</w:t>
      </w:r>
      <w:r w:rsidRPr="00EC060F">
        <w:rPr>
          <w:rFonts w:ascii="標楷體" w:eastAsia="標楷體" w:hAnsi="標楷體" w:hint="eastAsia"/>
          <w:b/>
          <w:u w:val="single"/>
        </w:rPr>
        <w:t>為</w:t>
      </w:r>
      <w:r w:rsidRPr="00EC060F">
        <w:rPr>
          <w:rFonts w:ascii="Book Antiqua" w:hAnsi="Book Antiqua"/>
          <w:b/>
          <w:u w:val="single"/>
        </w:rPr>
        <w:t>A</w:t>
      </w:r>
      <w:r w:rsidRPr="00EC060F">
        <w:rPr>
          <w:rFonts w:ascii="標楷體" w:eastAsia="標楷體" w:hAnsi="標楷體" w:hint="eastAsia"/>
          <w:b/>
          <w:u w:val="single"/>
        </w:rPr>
        <w:t>級著作</w:t>
      </w:r>
      <w:r w:rsidRPr="00EC060F">
        <w:rPr>
          <w:rFonts w:ascii="標楷體" w:eastAsia="標楷體" w:hAnsi="標楷體" w:hint="eastAsia"/>
        </w:rPr>
        <w:t>。</w:t>
      </w:r>
    </w:p>
    <w:p w:rsidR="00EC060F" w:rsidRPr="00EC060F" w:rsidRDefault="00EC060F" w:rsidP="00EC060F">
      <w:pPr>
        <w:spacing w:afterLines="50" w:after="180"/>
        <w:ind w:leftChars="300" w:left="720"/>
        <w:rPr>
          <w:rFonts w:ascii="標楷體" w:eastAsia="標楷體" w:hAnsi="標楷體"/>
          <w:b/>
          <w:sz w:val="16"/>
          <w:szCs w:val="16"/>
          <w:u w:val="single"/>
        </w:rPr>
      </w:pPr>
      <w:r w:rsidRPr="00EC060F">
        <w:rPr>
          <w:rFonts w:ascii="標楷體" w:eastAsia="標楷體" w:hAnsi="標楷體" w:hint="eastAsia"/>
        </w:rPr>
        <w:t>升等副教授者，代表作須為</w:t>
      </w:r>
      <w:r w:rsidRPr="00EC060F">
        <w:rPr>
          <w:rFonts w:ascii="Book Antiqua" w:hAnsi="Book Antiqua"/>
        </w:rPr>
        <w:t>A</w:t>
      </w:r>
      <w:r w:rsidRPr="00EC060F">
        <w:rPr>
          <w:rFonts w:ascii="標楷體" w:eastAsia="標楷體" w:hAnsi="標楷體" w:hint="eastAsia"/>
        </w:rPr>
        <w:t>級著作且是第一作者，</w:t>
      </w:r>
      <w:r w:rsidRPr="00EC060F">
        <w:rPr>
          <w:rFonts w:ascii="標楷體" w:eastAsia="標楷體" w:hAnsi="標楷體" w:hint="eastAsia"/>
          <w:b/>
          <w:u w:val="single"/>
        </w:rPr>
        <w:t>參考著作中至少須有一</w:t>
      </w:r>
      <w:r w:rsidRPr="00EC060F">
        <w:rPr>
          <w:rFonts w:ascii="標楷體" w:eastAsia="標楷體" w:hAnsi="標楷體" w:hint="eastAsia"/>
          <w:b/>
          <w:color w:val="FF0000"/>
          <w:highlight w:val="yellow"/>
          <w:u w:val="single"/>
        </w:rPr>
        <w:t>件</w:t>
      </w:r>
      <w:r w:rsidRPr="00EC060F">
        <w:rPr>
          <w:rFonts w:ascii="標楷體" w:eastAsia="標楷體" w:hAnsi="標楷體" w:hint="eastAsia"/>
          <w:b/>
          <w:u w:val="single"/>
        </w:rPr>
        <w:t>為</w:t>
      </w:r>
      <w:r w:rsidRPr="00EC060F">
        <w:rPr>
          <w:rFonts w:ascii="Book Antiqua" w:hAnsi="Book Antiqua"/>
          <w:b/>
          <w:u w:val="single"/>
        </w:rPr>
        <w:t>B</w:t>
      </w:r>
      <w:r w:rsidRPr="00EC060F">
        <w:rPr>
          <w:rFonts w:ascii="標楷體" w:eastAsia="標楷體" w:hAnsi="標楷體" w:hint="eastAsia"/>
          <w:b/>
          <w:u w:val="single"/>
        </w:rPr>
        <w:t>級以上之著作</w:t>
      </w:r>
      <w:r w:rsidRPr="00EC060F">
        <w:rPr>
          <w:rFonts w:ascii="標楷體" w:eastAsia="標楷體" w:hAnsi="標楷體" w:hint="eastAsia"/>
        </w:rPr>
        <w:t>。</w:t>
      </w:r>
    </w:p>
    <w:p w:rsidR="00EC060F" w:rsidRPr="00EC060F" w:rsidRDefault="00EC060F" w:rsidP="00EC060F">
      <w:pPr>
        <w:spacing w:afterLines="50" w:after="180"/>
        <w:ind w:leftChars="300" w:left="720"/>
        <w:rPr>
          <w:rFonts w:ascii="Book Antiqua" w:hAnsi="Book Antiqua"/>
        </w:rPr>
      </w:pPr>
      <w:r w:rsidRPr="00EC060F">
        <w:rPr>
          <w:rFonts w:ascii="標楷體" w:eastAsia="標楷體" w:hAnsi="標楷體" w:hint="eastAsia"/>
        </w:rPr>
        <w:t>升等助理教授者，代表作須為</w:t>
      </w:r>
      <w:r w:rsidRPr="00EC060F">
        <w:rPr>
          <w:rFonts w:ascii="Book Antiqua" w:hAnsi="Book Antiqua"/>
        </w:rPr>
        <w:t>B</w:t>
      </w:r>
      <w:r w:rsidRPr="00EC060F">
        <w:rPr>
          <w:rFonts w:ascii="標楷體" w:eastAsia="標楷體" w:hAnsi="標楷體" w:hint="eastAsia"/>
        </w:rPr>
        <w:t>級著作以上且是第一作者，著作中至少須有</w:t>
      </w:r>
      <w:r w:rsidRPr="00EC060F">
        <w:rPr>
          <w:rFonts w:ascii="標楷體" w:eastAsia="標楷體" w:hAnsi="標楷體" w:hint="eastAsia"/>
          <w:b/>
          <w:u w:val="single"/>
        </w:rPr>
        <w:t>一</w:t>
      </w:r>
      <w:r w:rsidRPr="00EC060F">
        <w:rPr>
          <w:rFonts w:ascii="標楷體" w:eastAsia="標楷體" w:hAnsi="標楷體" w:hint="eastAsia"/>
          <w:b/>
          <w:color w:val="FF0000"/>
          <w:highlight w:val="yellow"/>
          <w:u w:val="single"/>
        </w:rPr>
        <w:t>件</w:t>
      </w:r>
      <w:r w:rsidRPr="00EC060F">
        <w:rPr>
          <w:rFonts w:ascii="Book Antiqua" w:hAnsi="Book Antiqua"/>
        </w:rPr>
        <w:t>A</w:t>
      </w:r>
      <w:r w:rsidRPr="00EC060F">
        <w:rPr>
          <w:rFonts w:ascii="標楷體" w:eastAsia="標楷體" w:hAnsi="標楷體" w:hint="eastAsia"/>
        </w:rPr>
        <w:t>級著作或者二</w:t>
      </w:r>
      <w:r w:rsidRPr="00EC060F">
        <w:rPr>
          <w:rFonts w:ascii="標楷體" w:eastAsia="標楷體" w:hAnsi="標楷體" w:hint="eastAsia"/>
          <w:b/>
          <w:color w:val="FF0000"/>
          <w:highlight w:val="yellow"/>
          <w:u w:val="single"/>
        </w:rPr>
        <w:t>件</w:t>
      </w:r>
      <w:r w:rsidRPr="00EC060F">
        <w:rPr>
          <w:rFonts w:ascii="Book Antiqua" w:hAnsi="Book Antiqua"/>
        </w:rPr>
        <w:t>B</w:t>
      </w:r>
      <w:r w:rsidRPr="00EC060F">
        <w:rPr>
          <w:rFonts w:ascii="標楷體" w:eastAsia="標楷體" w:hAnsi="標楷體" w:hint="eastAsia"/>
        </w:rPr>
        <w:t>級著作</w:t>
      </w:r>
      <w:r w:rsidRPr="00EC060F">
        <w:rPr>
          <w:rFonts w:ascii="Book Antiqua" w:hAnsi="Book Antiqua"/>
          <w:u w:val="single"/>
        </w:rPr>
        <w:t xml:space="preserve"> (</w:t>
      </w:r>
      <w:r w:rsidRPr="00EC060F">
        <w:rPr>
          <w:rFonts w:ascii="標楷體" w:eastAsia="標楷體" w:hAnsi="標楷體" w:hint="eastAsia"/>
          <w:u w:val="single"/>
        </w:rPr>
        <w:t>含代表作</w:t>
      </w:r>
      <w:r w:rsidRPr="00EC060F">
        <w:rPr>
          <w:rFonts w:ascii="Book Antiqua" w:hAnsi="Book Antiqua"/>
          <w:u w:val="single"/>
        </w:rPr>
        <w:t>)</w:t>
      </w:r>
      <w:r w:rsidRPr="00EC060F">
        <w:rPr>
          <w:rFonts w:ascii="標楷體" w:eastAsia="標楷體" w:hAnsi="標楷體" w:hint="eastAsia"/>
        </w:rPr>
        <w:t>。</w:t>
      </w:r>
    </w:p>
    <w:p w:rsidR="00EC060F" w:rsidRPr="00EC060F" w:rsidRDefault="00EC060F" w:rsidP="00EC060F">
      <w:pPr>
        <w:spacing w:afterLines="50" w:after="180"/>
        <w:ind w:leftChars="300" w:left="720"/>
        <w:rPr>
          <w:rFonts w:ascii="Book Antiqua" w:hAnsi="Book Antiqua"/>
        </w:rPr>
      </w:pPr>
      <w:r w:rsidRPr="00EC060F">
        <w:rPr>
          <w:rFonts w:ascii="標楷體" w:eastAsia="標楷體" w:hAnsi="標楷體" w:hint="eastAsia"/>
          <w:b/>
          <w:u w:val="single"/>
        </w:rPr>
        <w:t>專門著作包含學位論文，其學位論文視同</w:t>
      </w:r>
      <w:r w:rsidRPr="00EC060F">
        <w:rPr>
          <w:rFonts w:ascii="Book Antiqua" w:hAnsi="Book Antiqua"/>
          <w:b/>
          <w:u w:val="single"/>
        </w:rPr>
        <w:t>A</w:t>
      </w:r>
      <w:r w:rsidRPr="00EC060F">
        <w:rPr>
          <w:rFonts w:ascii="標楷體" w:eastAsia="標楷體" w:hAnsi="標楷體" w:hint="eastAsia"/>
          <w:b/>
          <w:u w:val="single"/>
        </w:rPr>
        <w:t>級著作。</w:t>
      </w:r>
    </w:p>
    <w:p w:rsidR="00EC060F" w:rsidRPr="00EC060F" w:rsidRDefault="00EC060F" w:rsidP="00EC060F">
      <w:pPr>
        <w:ind w:left="1440" w:hanging="1440"/>
        <w:rPr>
          <w:rFonts w:ascii="Book Antiqua" w:hAnsi="Book Antiqua"/>
          <w:b/>
          <w:bCs/>
        </w:rPr>
      </w:pPr>
      <w:r w:rsidRPr="00EC060F">
        <w:rPr>
          <w:rFonts w:ascii="標楷體" w:eastAsia="標楷體" w:hAnsi="標楷體" w:hint="eastAsia"/>
          <w:b/>
          <w:bCs/>
        </w:rPr>
        <w:t>第五條</w:t>
      </w:r>
      <w:r w:rsidRPr="00EC060F">
        <w:rPr>
          <w:rFonts w:ascii="Book Antiqua" w:hAnsi="Book Antiqua"/>
          <w:b/>
          <w:bCs/>
        </w:rPr>
        <w:t xml:space="preserve"> (</w:t>
      </w:r>
      <w:r w:rsidRPr="00EC060F">
        <w:rPr>
          <w:rFonts w:ascii="標楷體" w:eastAsia="標楷體" w:hAnsi="標楷體" w:hint="eastAsia"/>
          <w:b/>
          <w:bCs/>
        </w:rPr>
        <w:t>專門著作評分標準</w:t>
      </w:r>
      <w:r w:rsidRPr="00EC060F">
        <w:rPr>
          <w:rFonts w:ascii="Book Antiqua" w:hAnsi="Book Antiqua"/>
          <w:b/>
          <w:bCs/>
        </w:rPr>
        <w:t>)</w:t>
      </w:r>
    </w:p>
    <w:p w:rsidR="00EC060F" w:rsidRPr="00EC060F" w:rsidRDefault="00681130" w:rsidP="00EC060F">
      <w:pPr>
        <w:ind w:leftChars="300" w:left="720"/>
        <w:rPr>
          <w:rFonts w:ascii="Book Antiqua" w:hAnsi="Book Antiqua"/>
        </w:rPr>
      </w:pPr>
      <w:r>
        <w:rPr>
          <w:rFonts w:ascii="標楷體" w:eastAsia="標楷體" w:hAnsi="標楷體" w:hint="eastAsia"/>
        </w:rPr>
        <w:t>專門</w:t>
      </w:r>
      <w:r w:rsidR="00EC060F" w:rsidRPr="00EC060F">
        <w:rPr>
          <w:rFonts w:ascii="標楷體" w:eastAsia="標楷體" w:hAnsi="標楷體" w:hint="eastAsia"/>
        </w:rPr>
        <w:t>著作之評分標準共分下列三級：</w:t>
      </w:r>
    </w:p>
    <w:p w:rsidR="00AF3DCA" w:rsidRPr="00EC060F" w:rsidRDefault="00AF3DCA" w:rsidP="00AF3DCA">
      <w:pPr>
        <w:ind w:leftChars="27" w:left="1265" w:hanging="1200"/>
        <w:jc w:val="both"/>
        <w:rPr>
          <w:rFonts w:ascii="Book Antiqua" w:hAnsi="Book Antiqua"/>
        </w:rPr>
      </w:pPr>
      <w:r>
        <w:rPr>
          <w:rFonts w:ascii="標楷體" w:eastAsia="標楷體" w:hAnsi="標楷體" w:hint="eastAsia"/>
        </w:rPr>
        <w:t xml:space="preserve">      </w:t>
      </w:r>
      <w:r w:rsidRPr="00EC060F">
        <w:rPr>
          <w:rFonts w:ascii="標楷體" w:eastAsia="標楷體" w:hAnsi="標楷體" w:hint="eastAsia"/>
        </w:rPr>
        <w:t>一、</w:t>
      </w:r>
      <w:r w:rsidRPr="00EC060F">
        <w:rPr>
          <w:rFonts w:ascii="Book Antiqua" w:hAnsi="Book Antiqua"/>
        </w:rPr>
        <w:t>A</w:t>
      </w:r>
      <w:r w:rsidRPr="00EC060F">
        <w:rPr>
          <w:rFonts w:ascii="標楷體" w:eastAsia="標楷體" w:hAnsi="標楷體" w:hint="eastAsia"/>
        </w:rPr>
        <w:t>級：發表於</w:t>
      </w:r>
      <w:r w:rsidRPr="00EC060F">
        <w:rPr>
          <w:rFonts w:ascii="Book Antiqua" w:hAnsi="Book Antiqua"/>
        </w:rPr>
        <w:t>SSCI</w:t>
      </w:r>
      <w:r w:rsidRPr="00EC060F">
        <w:rPr>
          <w:rFonts w:ascii="標楷體" w:eastAsia="標楷體" w:hAnsi="標楷體" w:hint="eastAsia"/>
        </w:rPr>
        <w:t>、</w:t>
      </w:r>
      <w:r w:rsidRPr="00EC060F">
        <w:rPr>
          <w:rFonts w:ascii="Book Antiqua" w:hAnsi="Book Antiqua"/>
        </w:rPr>
        <w:t>SCI</w:t>
      </w:r>
      <w:r w:rsidRPr="00EC060F">
        <w:rPr>
          <w:rFonts w:ascii="標楷體" w:eastAsia="標楷體" w:hAnsi="標楷體" w:hint="eastAsia"/>
        </w:rPr>
        <w:t>之期刊且</w:t>
      </w:r>
      <w:r w:rsidRPr="00EC060F">
        <w:rPr>
          <w:rFonts w:ascii="標楷體" w:eastAsia="標楷體" w:hAnsi="標楷體" w:hint="eastAsia"/>
          <w:u w:val="single"/>
        </w:rPr>
        <w:t>影響係數</w:t>
      </w:r>
      <w:r w:rsidRPr="00EC060F">
        <w:rPr>
          <w:rFonts w:ascii="Book Antiqua" w:hAnsi="Book Antiqua"/>
          <w:u w:val="single"/>
        </w:rPr>
        <w:t>(Impact factor)</w:t>
      </w:r>
      <w:r w:rsidRPr="00EC060F">
        <w:rPr>
          <w:rFonts w:ascii="標楷體" w:eastAsia="標楷體" w:hAnsi="標楷體" w:hint="eastAsia"/>
          <w:u w:val="single"/>
        </w:rPr>
        <w:t>大於</w:t>
      </w:r>
      <w:r w:rsidRPr="00EC060F">
        <w:rPr>
          <w:rFonts w:ascii="Book Antiqua" w:hAnsi="Book Antiqua"/>
          <w:u w:val="single"/>
        </w:rPr>
        <w:t>0.5</w:t>
      </w:r>
      <w:r w:rsidRPr="00EC060F">
        <w:rPr>
          <w:rFonts w:ascii="標楷體" w:eastAsia="標楷體" w:hAnsi="標楷體" w:hint="eastAsia"/>
          <w:u w:val="single"/>
        </w:rPr>
        <w:t>，</w:t>
      </w:r>
      <w:r w:rsidRPr="00EC060F">
        <w:rPr>
          <w:rFonts w:ascii="標楷體" w:eastAsia="標楷體" w:hAnsi="標楷體" w:hint="eastAsia"/>
        </w:rPr>
        <w:t>評分為</w:t>
      </w:r>
      <w:r w:rsidRPr="00EC060F">
        <w:rPr>
          <w:rFonts w:ascii="Book Antiqua" w:hAnsi="Book Antiqua"/>
          <w:u w:val="single"/>
        </w:rPr>
        <w:t>25</w:t>
      </w:r>
      <w:r w:rsidRPr="00EC060F">
        <w:rPr>
          <w:rFonts w:ascii="標楷體" w:eastAsia="標楷體" w:hAnsi="標楷體" w:hint="eastAsia"/>
          <w:u w:val="single"/>
        </w:rPr>
        <w:t>分</w:t>
      </w:r>
      <w:r w:rsidRPr="00EC060F">
        <w:rPr>
          <w:rFonts w:ascii="標楷體" w:eastAsia="標楷體" w:hAnsi="標楷體" w:hint="eastAsia"/>
        </w:rPr>
        <w:t>。</w:t>
      </w:r>
    </w:p>
    <w:p w:rsidR="00AF3DCA" w:rsidRPr="00EC060F" w:rsidRDefault="00AF3DCA" w:rsidP="00AF3DCA">
      <w:pPr>
        <w:ind w:leftChars="27" w:left="1265" w:hanging="1200"/>
        <w:jc w:val="both"/>
        <w:rPr>
          <w:rFonts w:ascii="Book Antiqua" w:hAnsi="Book Antiqua"/>
        </w:rPr>
      </w:pPr>
      <w:r>
        <w:rPr>
          <w:rFonts w:ascii="標楷體" w:eastAsia="標楷體" w:hAnsi="標楷體" w:hint="eastAsia"/>
        </w:rPr>
        <w:t xml:space="preserve">      </w:t>
      </w:r>
      <w:r w:rsidRPr="00EC060F">
        <w:rPr>
          <w:rFonts w:ascii="標楷體" w:eastAsia="標楷體" w:hAnsi="標楷體" w:hint="eastAsia"/>
        </w:rPr>
        <w:t>二、</w:t>
      </w:r>
      <w:r w:rsidRPr="00EC060F">
        <w:rPr>
          <w:rFonts w:ascii="Book Antiqua" w:hAnsi="Book Antiqua"/>
        </w:rPr>
        <w:t>B</w:t>
      </w:r>
      <w:r w:rsidRPr="00EC060F">
        <w:rPr>
          <w:rFonts w:ascii="標楷體" w:eastAsia="標楷體" w:hAnsi="標楷體" w:hint="eastAsia"/>
        </w:rPr>
        <w:t>級：發表於</w:t>
      </w:r>
      <w:r w:rsidRPr="00EC060F">
        <w:rPr>
          <w:rFonts w:ascii="Book Antiqua" w:hAnsi="Book Antiqua"/>
        </w:rPr>
        <w:t>SSCI</w:t>
      </w:r>
      <w:r w:rsidRPr="00EC060F">
        <w:rPr>
          <w:rFonts w:ascii="標楷體" w:eastAsia="標楷體" w:hAnsi="標楷體" w:hint="eastAsia"/>
        </w:rPr>
        <w:t>、</w:t>
      </w:r>
      <w:r w:rsidRPr="00EC060F">
        <w:rPr>
          <w:rFonts w:ascii="Book Antiqua" w:hAnsi="Book Antiqua"/>
        </w:rPr>
        <w:t>SCI</w:t>
      </w:r>
      <w:r w:rsidRPr="00EC060F">
        <w:rPr>
          <w:rFonts w:ascii="標楷體" w:eastAsia="標楷體" w:hAnsi="標楷體" w:hint="eastAsia"/>
        </w:rPr>
        <w:t>之期刊且</w:t>
      </w:r>
      <w:r w:rsidRPr="00EC060F">
        <w:rPr>
          <w:rFonts w:ascii="標楷體" w:eastAsia="標楷體" w:hAnsi="標楷體" w:hint="eastAsia"/>
          <w:u w:val="single"/>
        </w:rPr>
        <w:t>影響係數</w:t>
      </w:r>
      <w:r w:rsidRPr="00EC060F">
        <w:rPr>
          <w:rFonts w:ascii="Book Antiqua" w:hAnsi="Book Antiqua"/>
          <w:u w:val="single"/>
        </w:rPr>
        <w:t>(Impact factor)&lt;=0.5</w:t>
      </w:r>
      <w:r w:rsidRPr="00EC060F">
        <w:rPr>
          <w:rFonts w:ascii="標楷體" w:eastAsia="標楷體" w:hAnsi="標楷體" w:hint="eastAsia"/>
        </w:rPr>
        <w:t>或發表於</w:t>
      </w:r>
      <w:r w:rsidRPr="00EC060F">
        <w:rPr>
          <w:rFonts w:ascii="Book Antiqua" w:hAnsi="Book Antiqua"/>
        </w:rPr>
        <w:t>TSSCI</w:t>
      </w:r>
      <w:r w:rsidRPr="00EC060F">
        <w:rPr>
          <w:rFonts w:ascii="標楷體" w:eastAsia="標楷體" w:hAnsi="標楷體" w:hint="eastAsia"/>
        </w:rPr>
        <w:t>、</w:t>
      </w:r>
      <w:r w:rsidRPr="00EC060F">
        <w:rPr>
          <w:rFonts w:ascii="Book Antiqua" w:hAnsi="Book Antiqua"/>
        </w:rPr>
        <w:t>AHCI</w:t>
      </w:r>
      <w:r w:rsidRPr="00EC060F">
        <w:rPr>
          <w:rFonts w:ascii="標楷體" w:eastAsia="標楷體" w:hAnsi="標楷體" w:hint="eastAsia"/>
        </w:rPr>
        <w:t>、</w:t>
      </w:r>
      <w:r w:rsidRPr="00EC060F">
        <w:rPr>
          <w:rFonts w:ascii="Book Antiqua" w:hAnsi="Book Antiqua"/>
        </w:rPr>
        <w:t>EI</w:t>
      </w:r>
      <w:r w:rsidRPr="00EC060F">
        <w:rPr>
          <w:rFonts w:ascii="標楷體" w:eastAsia="標楷體" w:hAnsi="標楷體" w:hint="eastAsia"/>
        </w:rPr>
        <w:t>等期刊之學術論文，評分</w:t>
      </w:r>
      <w:r w:rsidRPr="00EC060F">
        <w:rPr>
          <w:rFonts w:ascii="Book Antiqua" w:hAnsi="Book Antiqua"/>
          <w:u w:val="single"/>
        </w:rPr>
        <w:t>15</w:t>
      </w:r>
      <w:r w:rsidRPr="00EC060F">
        <w:rPr>
          <w:rFonts w:ascii="標楷體" w:eastAsia="標楷體" w:hAnsi="標楷體" w:hint="eastAsia"/>
          <w:u w:val="single"/>
        </w:rPr>
        <w:t>分</w:t>
      </w:r>
      <w:r w:rsidRPr="00EC060F">
        <w:rPr>
          <w:rFonts w:ascii="標楷體" w:eastAsia="標楷體" w:hAnsi="標楷體" w:hint="eastAsia"/>
        </w:rPr>
        <w:t>。</w:t>
      </w:r>
    </w:p>
    <w:p w:rsidR="00EC060F" w:rsidRPr="008831E8" w:rsidRDefault="00AF3DCA" w:rsidP="00AF3DCA">
      <w:pPr>
        <w:spacing w:beforeLines="50" w:before="180" w:afterLines="50" w:after="180"/>
        <w:ind w:leftChars="300" w:left="720"/>
        <w:rPr>
          <w:rFonts w:ascii="標楷體" w:eastAsia="標楷體" w:hAnsi="標楷體"/>
        </w:rPr>
      </w:pPr>
      <w:r w:rsidRPr="00EC060F">
        <w:rPr>
          <w:rFonts w:ascii="標楷體" w:eastAsia="標楷體" w:hAnsi="標楷體" w:hint="eastAsia"/>
        </w:rPr>
        <w:t>三、</w:t>
      </w:r>
      <w:r w:rsidRPr="00EC060F">
        <w:rPr>
          <w:rFonts w:ascii="Book Antiqua" w:hAnsi="Book Antiqua"/>
        </w:rPr>
        <w:t>C</w:t>
      </w:r>
      <w:r w:rsidRPr="00EC060F">
        <w:rPr>
          <w:rFonts w:ascii="標楷體" w:eastAsia="標楷體" w:hAnsi="標楷體" w:hint="eastAsia"/>
        </w:rPr>
        <w:t>級：發表於設有匿名評審制度的期刊或專書上之學術論文，評分</w:t>
      </w:r>
      <w:r w:rsidRPr="00EC060F">
        <w:rPr>
          <w:rFonts w:ascii="Book Antiqua" w:hAnsi="Book Antiqua"/>
          <w:u w:val="single"/>
        </w:rPr>
        <w:t>5</w:t>
      </w:r>
      <w:r w:rsidRPr="00EC060F">
        <w:rPr>
          <w:rFonts w:ascii="標楷體" w:eastAsia="標楷體" w:hAnsi="標楷體" w:hint="eastAsia"/>
          <w:u w:val="single"/>
        </w:rPr>
        <w:t>分</w:t>
      </w:r>
      <w:r w:rsidRPr="00EC060F">
        <w:rPr>
          <w:rFonts w:ascii="標楷體" w:eastAsia="標楷體" w:hAnsi="標楷體" w:hint="eastAsia"/>
        </w:rPr>
        <w:t>。</w:t>
      </w:r>
    </w:p>
    <w:p w:rsidR="00EC060F" w:rsidRPr="00EC060F" w:rsidRDefault="00EC060F" w:rsidP="00EC060F">
      <w:pPr>
        <w:spacing w:beforeLines="50" w:before="180" w:afterLines="50" w:after="180"/>
        <w:ind w:leftChars="300" w:left="720"/>
        <w:rPr>
          <w:rFonts w:ascii="標楷體" w:eastAsia="標楷體" w:hAnsi="標楷體"/>
        </w:rPr>
      </w:pPr>
      <w:r w:rsidRPr="00EC060F">
        <w:rPr>
          <w:rFonts w:ascii="標楷體" w:eastAsia="標楷體" w:hAnsi="標楷體" w:hint="eastAsia"/>
        </w:rPr>
        <w:t>該著作為單獨發表者，分數以其著作等級評分</w:t>
      </w:r>
      <w:r w:rsidRPr="00EC060F">
        <w:rPr>
          <w:rFonts w:ascii="Book Antiqua" w:hAnsi="Book Antiqua"/>
        </w:rPr>
        <w:t>100%</w:t>
      </w:r>
      <w:r w:rsidRPr="00EC060F">
        <w:rPr>
          <w:rFonts w:ascii="標楷體" w:eastAsia="標楷體" w:hAnsi="標楷體" w:hint="eastAsia"/>
        </w:rPr>
        <w:t>計算之；兩人合著者，第一作者分數以等級分數之</w:t>
      </w:r>
      <w:r w:rsidRPr="00EC060F">
        <w:rPr>
          <w:rFonts w:ascii="Book Antiqua" w:hAnsi="Book Antiqua"/>
        </w:rPr>
        <w:t xml:space="preserve"> 2/3</w:t>
      </w:r>
      <w:r w:rsidRPr="00EC060F">
        <w:rPr>
          <w:rFonts w:ascii="標楷體" w:eastAsia="標楷體" w:hAnsi="標楷體" w:hint="eastAsia"/>
        </w:rPr>
        <w:t>計算，第二作者則以</w:t>
      </w:r>
      <w:r w:rsidRPr="00EC060F">
        <w:rPr>
          <w:rFonts w:ascii="Book Antiqua" w:hAnsi="Book Antiqua"/>
        </w:rPr>
        <w:t>1/3</w:t>
      </w:r>
      <w:r w:rsidRPr="00EC060F">
        <w:rPr>
          <w:rFonts w:ascii="標楷體" w:eastAsia="標楷體" w:hAnsi="標楷體" w:hint="eastAsia"/>
        </w:rPr>
        <w:t>計算；多人合著者，第一作者以</w:t>
      </w:r>
      <w:r w:rsidRPr="00EC060F">
        <w:rPr>
          <w:rFonts w:ascii="Book Antiqua" w:hAnsi="Book Antiqua"/>
        </w:rPr>
        <w:t xml:space="preserve"> 1/2</w:t>
      </w:r>
      <w:r w:rsidRPr="00EC060F">
        <w:rPr>
          <w:rFonts w:ascii="標楷體" w:eastAsia="標楷體" w:hAnsi="標楷體" w:hint="eastAsia"/>
        </w:rPr>
        <w:t>計算，第二及第</w:t>
      </w:r>
      <w:proofErr w:type="gramStart"/>
      <w:r w:rsidRPr="00EC060F">
        <w:rPr>
          <w:rFonts w:ascii="標楷體" w:eastAsia="標楷體" w:hAnsi="標楷體" w:hint="eastAsia"/>
        </w:rPr>
        <w:t>三</w:t>
      </w:r>
      <w:proofErr w:type="gramEnd"/>
      <w:r w:rsidRPr="00EC060F">
        <w:rPr>
          <w:rFonts w:ascii="標楷體" w:eastAsia="標楷體" w:hAnsi="標楷體" w:hint="eastAsia"/>
        </w:rPr>
        <w:t>作者分別以</w:t>
      </w:r>
      <w:r w:rsidRPr="00EC060F">
        <w:rPr>
          <w:rFonts w:ascii="Book Antiqua" w:hAnsi="Book Antiqua"/>
        </w:rPr>
        <w:t>1/3</w:t>
      </w:r>
      <w:r w:rsidRPr="00EC060F">
        <w:rPr>
          <w:rFonts w:ascii="標楷體" w:eastAsia="標楷體" w:hAnsi="標楷體" w:hint="eastAsia"/>
        </w:rPr>
        <w:t>及</w:t>
      </w:r>
      <w:r w:rsidRPr="00EC060F">
        <w:rPr>
          <w:rFonts w:ascii="Book Antiqua" w:hAnsi="Book Antiqua"/>
        </w:rPr>
        <w:t>1/6</w:t>
      </w:r>
      <w:r w:rsidRPr="00EC060F">
        <w:rPr>
          <w:rFonts w:ascii="標楷體" w:eastAsia="標楷體" w:hAnsi="標楷體" w:hint="eastAsia"/>
        </w:rPr>
        <w:t>計算之，第四作者</w:t>
      </w:r>
      <w:r w:rsidRPr="00EC060F">
        <w:rPr>
          <w:rFonts w:ascii="Book Antiqua" w:hAnsi="Book Antiqua"/>
        </w:rPr>
        <w:t>(</w:t>
      </w:r>
      <w:r w:rsidRPr="00EC060F">
        <w:rPr>
          <w:rFonts w:ascii="標楷體" w:eastAsia="標楷體" w:hAnsi="標楷體" w:hint="eastAsia"/>
        </w:rPr>
        <w:t>含</w:t>
      </w:r>
      <w:r w:rsidRPr="00EC060F">
        <w:rPr>
          <w:rFonts w:ascii="Book Antiqua" w:hAnsi="Book Antiqua"/>
        </w:rPr>
        <w:t>)</w:t>
      </w:r>
      <w:r w:rsidRPr="00EC060F">
        <w:rPr>
          <w:rFonts w:ascii="標楷體" w:eastAsia="標楷體" w:hAnsi="標楷體" w:hint="eastAsia"/>
        </w:rPr>
        <w:t>以下者均不予計分</w:t>
      </w:r>
      <w:r w:rsidRPr="00EC060F">
        <w:rPr>
          <w:rFonts w:ascii="標楷體" w:eastAsia="標楷體" w:hAnsi="標楷體" w:hint="eastAsia"/>
          <w:color w:val="000000" w:themeColor="text1"/>
        </w:rPr>
        <w:t>(</w:t>
      </w:r>
      <w:r w:rsidRPr="00EC060F">
        <w:rPr>
          <w:rFonts w:ascii="標楷體" w:eastAsia="標楷體" w:hAnsi="標楷體" w:hint="eastAsia"/>
        </w:rPr>
        <w:t>分數以四捨五入</w:t>
      </w:r>
      <w:proofErr w:type="gramStart"/>
      <w:r w:rsidRPr="00EC060F">
        <w:rPr>
          <w:rFonts w:ascii="標楷體" w:eastAsia="標楷體" w:hAnsi="標楷體" w:hint="eastAsia"/>
        </w:rPr>
        <w:t>法取</w:t>
      </w:r>
      <w:proofErr w:type="gramEnd"/>
      <w:r w:rsidRPr="00EC060F">
        <w:rPr>
          <w:rFonts w:ascii="標楷體" w:eastAsia="標楷體" w:hAnsi="標楷體" w:hint="eastAsia"/>
        </w:rPr>
        <w:t>至整數位)。</w:t>
      </w:r>
    </w:p>
    <w:p w:rsidR="00EC060F" w:rsidRPr="00EC060F" w:rsidRDefault="00EC060F" w:rsidP="00EC060F">
      <w:pPr>
        <w:widowControl w:val="0"/>
        <w:spacing w:line="320" w:lineRule="exact"/>
        <w:rPr>
          <w:rFonts w:ascii="標楷體" w:eastAsia="標楷體" w:hAnsi="標楷體"/>
          <w:b/>
          <w:u w:val="single"/>
        </w:rPr>
      </w:pPr>
      <w:r w:rsidRPr="00EC060F">
        <w:rPr>
          <w:rFonts w:ascii="標楷體" w:eastAsia="標楷體" w:hAnsi="標楷體" w:hint="eastAsia"/>
          <w:b/>
          <w:u w:val="single"/>
        </w:rPr>
        <w:t>以學位論文升等者，給予</w:t>
      </w:r>
      <w:r w:rsidRPr="00EC060F">
        <w:rPr>
          <w:rFonts w:ascii="Book Antiqua" w:hAnsi="Book Antiqua"/>
          <w:b/>
          <w:u w:val="single"/>
        </w:rPr>
        <w:t>25</w:t>
      </w:r>
      <w:r w:rsidRPr="00EC060F">
        <w:rPr>
          <w:rFonts w:ascii="標楷體" w:eastAsia="標楷體" w:hAnsi="標楷體" w:hint="eastAsia"/>
          <w:b/>
          <w:u w:val="single"/>
        </w:rPr>
        <w:t>分，參考著作比照本條標準計算。</w:t>
      </w:r>
    </w:p>
    <w:p w:rsidR="00EC060F" w:rsidRPr="00EC060F" w:rsidRDefault="00EC060F" w:rsidP="00EC060F">
      <w:pPr>
        <w:widowControl w:val="0"/>
        <w:spacing w:line="320" w:lineRule="exact"/>
        <w:rPr>
          <w:rFonts w:ascii="標楷體" w:eastAsia="標楷體" w:hAnsi="標楷體"/>
          <w:b/>
          <w:u w:val="single"/>
        </w:rPr>
      </w:pPr>
    </w:p>
    <w:p w:rsidR="00EC060F" w:rsidRPr="00EC060F" w:rsidRDefault="00EC060F" w:rsidP="00EC060F">
      <w:pPr>
        <w:ind w:left="1440" w:hanging="1440"/>
        <w:rPr>
          <w:rFonts w:ascii="Book Antiqua" w:hAnsi="Book Antiqua"/>
          <w:b/>
          <w:bCs/>
        </w:rPr>
      </w:pPr>
      <w:r w:rsidRPr="00EC060F">
        <w:rPr>
          <w:rFonts w:ascii="標楷體" w:eastAsia="標楷體" w:hAnsi="標楷體" w:hint="eastAsia"/>
          <w:b/>
          <w:bCs/>
        </w:rPr>
        <w:t>第六條</w:t>
      </w:r>
      <w:r w:rsidRPr="00EC060F">
        <w:rPr>
          <w:rFonts w:ascii="Book Antiqua" w:hAnsi="Book Antiqua"/>
          <w:b/>
          <w:bCs/>
        </w:rPr>
        <w:t xml:space="preserve"> (</w:t>
      </w:r>
      <w:r w:rsidRPr="00EC060F">
        <w:rPr>
          <w:rFonts w:ascii="標楷體" w:eastAsia="標楷體" w:hAnsi="標楷體" w:hint="eastAsia"/>
          <w:b/>
          <w:bCs/>
        </w:rPr>
        <w:t>技術報告及實務報告評分標準</w:t>
      </w:r>
      <w:r w:rsidRPr="00EC060F">
        <w:rPr>
          <w:rFonts w:ascii="Book Antiqua" w:hAnsi="Book Antiqua"/>
          <w:b/>
          <w:bCs/>
        </w:rPr>
        <w:t>)</w:t>
      </w:r>
    </w:p>
    <w:p w:rsidR="004B2E78" w:rsidRDefault="00EC060F" w:rsidP="00EC060F">
      <w:pPr>
        <w:spacing w:afterLines="50" w:after="180"/>
        <w:ind w:leftChars="300" w:left="720"/>
        <w:rPr>
          <w:rFonts w:ascii="Book Antiqua" w:hAnsi="Book Antiqua"/>
        </w:rPr>
      </w:pPr>
      <w:r w:rsidRPr="003E4FE7">
        <w:rPr>
          <w:rFonts w:ascii="標楷體" w:eastAsia="標楷體" w:hAnsi="標楷體" w:hint="eastAsia"/>
        </w:rPr>
        <w:t>為鼓勵教師多元升等，</w:t>
      </w:r>
      <w:r w:rsidRPr="003E4FE7">
        <w:rPr>
          <w:rFonts w:ascii="標楷體" w:eastAsia="標楷體" w:hAnsi="標楷體" w:hint="eastAsia"/>
          <w:b/>
          <w:u w:val="single"/>
        </w:rPr>
        <w:t>教師</w:t>
      </w:r>
      <w:r w:rsidRPr="003E4FE7">
        <w:rPr>
          <w:rFonts w:ascii="標楷體" w:eastAsia="標楷體" w:hAnsi="標楷體" w:hint="eastAsia"/>
        </w:rPr>
        <w:t>以技術報告、教學實務報告及產學實務報告為代表著作申請升等者，</w:t>
      </w:r>
      <w:r w:rsidRPr="003E4FE7">
        <w:rPr>
          <w:rFonts w:ascii="標楷體" w:eastAsia="標楷體" w:hAnsi="標楷體" w:hint="eastAsia"/>
          <w:b/>
          <w:u w:val="single"/>
        </w:rPr>
        <w:t>代表著作以</w:t>
      </w:r>
      <w:r w:rsidRPr="003E4FE7">
        <w:rPr>
          <w:rFonts w:ascii="Book Antiqua" w:hAnsi="Book Antiqua"/>
          <w:b/>
          <w:u w:val="single"/>
        </w:rPr>
        <w:t>30</w:t>
      </w:r>
      <w:r w:rsidRPr="003E4FE7">
        <w:rPr>
          <w:rFonts w:ascii="標楷體" w:eastAsia="標楷體" w:hAnsi="標楷體" w:hint="eastAsia"/>
          <w:b/>
          <w:u w:val="single"/>
        </w:rPr>
        <w:t>分計</w:t>
      </w:r>
      <w:r w:rsidRPr="003E4FE7">
        <w:rPr>
          <w:rFonts w:ascii="標楷體" w:eastAsia="標楷體" w:hAnsi="標楷體" w:hint="eastAsia"/>
        </w:rPr>
        <w:t>，其餘參考著作依本要點第五條之評分標準計算。</w:t>
      </w:r>
    </w:p>
    <w:p w:rsidR="00EC060F" w:rsidRPr="00EC060F" w:rsidRDefault="00EC060F" w:rsidP="00EC060F">
      <w:pPr>
        <w:rPr>
          <w:rFonts w:ascii="Book Antiqua" w:hAnsi="Book Antiqua"/>
          <w:b/>
          <w:bCs/>
        </w:rPr>
      </w:pPr>
      <w:r w:rsidRPr="00EC060F">
        <w:rPr>
          <w:rFonts w:ascii="標楷體" w:eastAsia="標楷體" w:hAnsi="標楷體" w:hint="eastAsia"/>
          <w:b/>
          <w:bCs/>
        </w:rPr>
        <w:t>第七條</w:t>
      </w:r>
      <w:r w:rsidRPr="00EC060F">
        <w:rPr>
          <w:rFonts w:ascii="Book Antiqua" w:hAnsi="Book Antiqua"/>
          <w:b/>
          <w:bCs/>
        </w:rPr>
        <w:t xml:space="preserve"> (</w:t>
      </w:r>
      <w:r w:rsidRPr="00EC060F">
        <w:rPr>
          <w:rFonts w:ascii="標楷體" w:eastAsia="標楷體" w:hAnsi="標楷體" w:hint="eastAsia"/>
          <w:b/>
          <w:bCs/>
        </w:rPr>
        <w:t>各職級升等基本分數</w:t>
      </w:r>
      <w:r w:rsidRPr="00EC060F">
        <w:rPr>
          <w:rFonts w:ascii="Book Antiqua" w:hAnsi="Book Antiqua"/>
          <w:b/>
          <w:bCs/>
        </w:rPr>
        <w:t>)</w:t>
      </w:r>
    </w:p>
    <w:p w:rsidR="00EC060F" w:rsidRPr="00EC060F" w:rsidRDefault="00EC060F" w:rsidP="00EC060F">
      <w:pPr>
        <w:ind w:leftChars="300" w:left="720"/>
        <w:rPr>
          <w:rFonts w:ascii="Book Antiqua" w:hAnsi="Book Antiqua"/>
        </w:rPr>
      </w:pPr>
      <w:r w:rsidRPr="00EC060F">
        <w:rPr>
          <w:rFonts w:ascii="標楷體" w:eastAsia="標楷體" w:hAnsi="標楷體" w:hint="eastAsia"/>
          <w:b/>
          <w:u w:val="single"/>
        </w:rPr>
        <w:t>教師之研究得分依其申請升等職級</w:t>
      </w:r>
      <w:r w:rsidRPr="00EC060F">
        <w:rPr>
          <w:rFonts w:ascii="標楷體" w:eastAsia="標楷體" w:hAnsi="標楷體" w:hint="eastAsia"/>
        </w:rPr>
        <w:t>，須達以下標準方可提出升等申請。</w:t>
      </w:r>
    </w:p>
    <w:p w:rsidR="00EC060F" w:rsidRPr="00EC060F" w:rsidRDefault="00EC060F" w:rsidP="00EC060F">
      <w:pPr>
        <w:ind w:leftChars="413" w:left="2191" w:hanging="1200"/>
        <w:jc w:val="both"/>
        <w:rPr>
          <w:rFonts w:ascii="Book Antiqua" w:hAnsi="Book Antiqua"/>
          <w:b/>
          <w:u w:val="single"/>
        </w:rPr>
      </w:pPr>
      <w:r w:rsidRPr="00EC060F">
        <w:rPr>
          <w:rFonts w:ascii="標楷體" w:eastAsia="標楷體" w:hAnsi="標楷體" w:hint="eastAsia"/>
          <w:b/>
          <w:u w:val="single"/>
        </w:rPr>
        <w:t>一、升等教授者：</w:t>
      </w:r>
      <w:r w:rsidRPr="00EC060F">
        <w:rPr>
          <w:rFonts w:ascii="Book Antiqua" w:hAnsi="Book Antiqua"/>
          <w:b/>
          <w:u w:val="single"/>
        </w:rPr>
        <w:t>75</w:t>
      </w:r>
      <w:r w:rsidRPr="00EC060F">
        <w:rPr>
          <w:rFonts w:ascii="標楷體" w:eastAsia="標楷體" w:hAnsi="標楷體" w:hint="eastAsia"/>
          <w:b/>
          <w:u w:val="single"/>
        </w:rPr>
        <w:t>分。</w:t>
      </w:r>
    </w:p>
    <w:p w:rsidR="00EC060F" w:rsidRPr="00EC060F" w:rsidRDefault="00EC060F" w:rsidP="00EC060F">
      <w:pPr>
        <w:ind w:leftChars="413" w:left="2191" w:hanging="1200"/>
        <w:jc w:val="both"/>
        <w:rPr>
          <w:rFonts w:ascii="Book Antiqua" w:hAnsi="Book Antiqua"/>
          <w:b/>
          <w:u w:val="single"/>
        </w:rPr>
      </w:pPr>
      <w:r w:rsidRPr="00EC060F">
        <w:rPr>
          <w:rFonts w:ascii="標楷體" w:eastAsia="標楷體" w:hAnsi="標楷體" w:hint="eastAsia"/>
          <w:b/>
          <w:u w:val="single"/>
        </w:rPr>
        <w:t>二、升等副教授者：</w:t>
      </w:r>
      <w:r w:rsidRPr="00EC060F">
        <w:rPr>
          <w:rFonts w:ascii="Book Antiqua" w:hAnsi="Book Antiqua"/>
          <w:b/>
          <w:u w:val="single"/>
        </w:rPr>
        <w:t>65</w:t>
      </w:r>
      <w:r w:rsidRPr="00EC060F">
        <w:rPr>
          <w:rFonts w:ascii="標楷體" w:eastAsia="標楷體" w:hAnsi="標楷體" w:hint="eastAsia"/>
          <w:b/>
          <w:u w:val="single"/>
        </w:rPr>
        <w:t>分。</w:t>
      </w:r>
    </w:p>
    <w:p w:rsidR="00EC060F" w:rsidRPr="00EC060F" w:rsidRDefault="00EC060F" w:rsidP="00EC060F">
      <w:pPr>
        <w:spacing w:afterLines="50" w:after="180"/>
        <w:ind w:leftChars="413" w:left="2191" w:hanging="1200"/>
        <w:rPr>
          <w:rFonts w:ascii="Book Antiqua" w:hAnsi="Book Antiqua"/>
        </w:rPr>
      </w:pPr>
      <w:r w:rsidRPr="00EC060F">
        <w:rPr>
          <w:rFonts w:ascii="標楷體" w:eastAsia="標楷體" w:hAnsi="標楷體" w:hint="eastAsia"/>
          <w:b/>
          <w:u w:val="single"/>
        </w:rPr>
        <w:t>三、升等助理教授者：</w:t>
      </w:r>
      <w:r w:rsidRPr="00EC060F">
        <w:rPr>
          <w:rFonts w:ascii="Book Antiqua" w:hAnsi="Book Antiqua"/>
          <w:b/>
          <w:u w:val="single"/>
        </w:rPr>
        <w:t>60</w:t>
      </w:r>
      <w:r w:rsidRPr="00EC060F">
        <w:rPr>
          <w:rFonts w:ascii="標楷體" w:eastAsia="標楷體" w:hAnsi="標楷體" w:hint="eastAsia"/>
          <w:b/>
          <w:u w:val="single"/>
        </w:rPr>
        <w:t>分。</w:t>
      </w:r>
    </w:p>
    <w:p w:rsidR="00EC060F" w:rsidRPr="00EC060F" w:rsidRDefault="00EC060F" w:rsidP="00EC060F">
      <w:pPr>
        <w:spacing w:afterLines="50" w:after="180"/>
        <w:ind w:left="1440" w:hanging="1440"/>
        <w:rPr>
          <w:rFonts w:ascii="標楷體" w:eastAsia="標楷體" w:hAnsi="標楷體"/>
          <w:b/>
          <w:bCs/>
        </w:rPr>
      </w:pPr>
    </w:p>
    <w:p w:rsidR="00EC060F" w:rsidRPr="00EC060F" w:rsidRDefault="00EC060F" w:rsidP="00EC060F">
      <w:pPr>
        <w:spacing w:afterLines="50" w:after="180"/>
        <w:ind w:left="1440" w:hanging="1440"/>
        <w:rPr>
          <w:rFonts w:ascii="標楷體" w:eastAsia="標楷體" w:hAnsi="標楷體"/>
          <w:b/>
          <w:bCs/>
        </w:rPr>
      </w:pPr>
    </w:p>
    <w:p w:rsidR="00EC060F" w:rsidRPr="00EC060F" w:rsidRDefault="00EC060F" w:rsidP="00EC060F">
      <w:pPr>
        <w:spacing w:afterLines="50" w:after="180"/>
        <w:rPr>
          <w:rFonts w:ascii="標楷體" w:eastAsia="標楷體" w:hAnsi="標楷體"/>
          <w:b/>
          <w:bCs/>
        </w:rPr>
      </w:pPr>
    </w:p>
    <w:p w:rsidR="00EC060F" w:rsidRPr="00EC060F" w:rsidRDefault="00EC060F" w:rsidP="00EC060F">
      <w:pPr>
        <w:spacing w:afterLines="50" w:after="180"/>
        <w:ind w:left="1440" w:hanging="1440"/>
        <w:rPr>
          <w:rFonts w:ascii="Book Antiqua" w:hAnsi="Book Antiqua"/>
          <w:b/>
          <w:bCs/>
        </w:rPr>
      </w:pPr>
      <w:r w:rsidRPr="00EC060F">
        <w:rPr>
          <w:rFonts w:ascii="標楷體" w:eastAsia="標楷體" w:hAnsi="標楷體" w:hint="eastAsia"/>
          <w:b/>
          <w:bCs/>
        </w:rPr>
        <w:t>第八條</w:t>
      </w:r>
      <w:r w:rsidRPr="00EC060F">
        <w:rPr>
          <w:rFonts w:ascii="Book Antiqua" w:hAnsi="Book Antiqua"/>
          <w:b/>
          <w:bCs/>
        </w:rPr>
        <w:t xml:space="preserve"> (</w:t>
      </w:r>
      <w:r w:rsidRPr="00EC060F">
        <w:rPr>
          <w:rFonts w:ascii="標楷體" w:eastAsia="標楷體" w:hAnsi="標楷體" w:hint="eastAsia"/>
          <w:b/>
          <w:bCs/>
        </w:rPr>
        <w:t>送審規定</w:t>
      </w:r>
      <w:r w:rsidRPr="00EC060F">
        <w:rPr>
          <w:rFonts w:ascii="Book Antiqua" w:hAnsi="Book Antiqua"/>
          <w:b/>
          <w:bCs/>
        </w:rPr>
        <w:t>)</w:t>
      </w:r>
    </w:p>
    <w:p w:rsidR="00EC060F" w:rsidRPr="00EC060F" w:rsidRDefault="00EC060F" w:rsidP="00EC060F">
      <w:pPr>
        <w:spacing w:afterLines="50" w:after="180"/>
        <w:ind w:leftChars="300" w:left="720"/>
        <w:rPr>
          <w:rFonts w:ascii="Book Antiqua" w:hAnsi="Book Antiqua"/>
          <w:b/>
          <w:u w:val="single"/>
        </w:rPr>
      </w:pPr>
      <w:r w:rsidRPr="00EC060F">
        <w:rPr>
          <w:rFonts w:ascii="標楷體" w:eastAsia="標楷體" w:hAnsi="標楷體" w:hint="eastAsia"/>
          <w:b/>
          <w:u w:val="single"/>
        </w:rPr>
        <w:t>教師申請升等時應依本校教師升等規定檢具完整資料，並遵守學術倫理，不得有「本校違反學術倫理案件處理規定」第二條之情事，否則依其規定辦理。</w:t>
      </w:r>
    </w:p>
    <w:p w:rsidR="004B2E78" w:rsidRDefault="00EC060F" w:rsidP="00EC060F">
      <w:pPr>
        <w:spacing w:afterLines="50" w:after="180"/>
        <w:ind w:leftChars="300" w:left="720"/>
        <w:rPr>
          <w:rFonts w:ascii="Book Antiqua" w:hAnsi="Book Antiqua"/>
        </w:rPr>
      </w:pPr>
      <w:r w:rsidRPr="00EC060F">
        <w:rPr>
          <w:rFonts w:ascii="標楷體" w:eastAsia="標楷體" w:hAnsi="標楷體" w:hint="eastAsia"/>
        </w:rPr>
        <w:t>如本次送審代表著作與前次送審代表著作內容近似者，送審時應檢附前次送審代表著作與本次著作異同對照。</w:t>
      </w:r>
    </w:p>
    <w:p w:rsidR="004B2E78" w:rsidRDefault="004B2E78" w:rsidP="004B2E78">
      <w:pPr>
        <w:ind w:left="1441" w:hanging="1441"/>
        <w:rPr>
          <w:rFonts w:ascii="Book Antiqua" w:hAnsi="Book Antiqua"/>
          <w:b/>
          <w:bCs/>
        </w:rPr>
      </w:pPr>
      <w:r>
        <w:rPr>
          <w:rFonts w:ascii="標楷體" w:eastAsia="標楷體" w:hAnsi="標楷體" w:hint="eastAsia"/>
          <w:b/>
          <w:bCs/>
        </w:rPr>
        <w:t>第九條</w:t>
      </w:r>
      <w:r>
        <w:rPr>
          <w:rFonts w:ascii="Book Antiqua" w:hAnsi="Book Antiqua"/>
          <w:b/>
          <w:bCs/>
        </w:rPr>
        <w:t xml:space="preserve"> (</w:t>
      </w:r>
      <w:r>
        <w:rPr>
          <w:rFonts w:ascii="標楷體" w:eastAsia="標楷體" w:hAnsi="標楷體" w:hint="eastAsia"/>
          <w:b/>
          <w:bCs/>
        </w:rPr>
        <w:t>著作與專業領域之關聯</w:t>
      </w:r>
      <w:r>
        <w:rPr>
          <w:rFonts w:ascii="Book Antiqua" w:hAnsi="Book Antiqua"/>
          <w:b/>
          <w:bCs/>
        </w:rPr>
        <w:t>)</w:t>
      </w:r>
    </w:p>
    <w:p w:rsidR="004B2E78" w:rsidRDefault="004B2E78" w:rsidP="004B2E78">
      <w:pPr>
        <w:spacing w:afterLines="50" w:after="180"/>
        <w:ind w:leftChars="300" w:left="720"/>
        <w:rPr>
          <w:rFonts w:ascii="Book Antiqua" w:hAnsi="Book Antiqua"/>
        </w:rPr>
      </w:pPr>
      <w:r>
        <w:rPr>
          <w:rFonts w:ascii="標楷體" w:eastAsia="標楷體" w:hAnsi="標楷體" w:hint="eastAsia"/>
        </w:rPr>
        <w:t>申請人送審之學術論文應與其專業領域或任教科目有關，並經各級教師評審委員會審議，發現無關聯者得</w:t>
      </w:r>
      <w:proofErr w:type="gramStart"/>
      <w:r>
        <w:rPr>
          <w:rFonts w:ascii="標楷體" w:eastAsia="標楷體" w:hAnsi="標楷體" w:hint="eastAsia"/>
        </w:rPr>
        <w:t>予退</w:t>
      </w:r>
      <w:proofErr w:type="gramEnd"/>
      <w:r>
        <w:rPr>
          <w:rFonts w:ascii="標楷體" w:eastAsia="標楷體" w:hAnsi="標楷體" w:hint="eastAsia"/>
        </w:rPr>
        <w:t>回。</w:t>
      </w:r>
    </w:p>
    <w:p w:rsidR="00EC060F" w:rsidRPr="00EC060F" w:rsidRDefault="00EC060F" w:rsidP="00EC060F">
      <w:pPr>
        <w:ind w:left="1440" w:hanging="1440"/>
        <w:rPr>
          <w:rFonts w:ascii="Book Antiqua" w:hAnsi="Book Antiqua"/>
          <w:b/>
          <w:bCs/>
        </w:rPr>
      </w:pPr>
      <w:r w:rsidRPr="00EC060F">
        <w:rPr>
          <w:rFonts w:ascii="標楷體" w:eastAsia="標楷體" w:hAnsi="標楷體" w:hint="eastAsia"/>
          <w:b/>
          <w:bCs/>
        </w:rPr>
        <w:t>第十條</w:t>
      </w:r>
      <w:r w:rsidRPr="00EC060F">
        <w:rPr>
          <w:rFonts w:ascii="Book Antiqua" w:hAnsi="Book Antiqua"/>
          <w:b/>
          <w:bCs/>
        </w:rPr>
        <w:t xml:space="preserve"> (</w:t>
      </w:r>
      <w:r w:rsidRPr="00EC060F">
        <w:rPr>
          <w:rFonts w:ascii="標楷體" w:eastAsia="標楷體" w:hAnsi="標楷體" w:hint="eastAsia"/>
          <w:b/>
          <w:bCs/>
        </w:rPr>
        <w:t>未盡事宜</w:t>
      </w:r>
      <w:r w:rsidRPr="00EC060F">
        <w:rPr>
          <w:rFonts w:ascii="Book Antiqua" w:hAnsi="Book Antiqua"/>
          <w:b/>
          <w:bCs/>
        </w:rPr>
        <w:t>)</w:t>
      </w:r>
    </w:p>
    <w:p w:rsidR="004B2E78" w:rsidRDefault="00EC060F" w:rsidP="00EC060F">
      <w:pPr>
        <w:spacing w:afterLines="50" w:after="180"/>
        <w:ind w:leftChars="300" w:left="720"/>
        <w:rPr>
          <w:rFonts w:ascii="Book Antiqua" w:hAnsi="Book Antiqua"/>
        </w:rPr>
      </w:pPr>
      <w:r w:rsidRPr="00EC060F">
        <w:rPr>
          <w:rFonts w:ascii="標楷體" w:eastAsia="標楷體" w:hAnsi="標楷體" w:hint="eastAsia"/>
        </w:rPr>
        <w:t>本要點未訂事項，悉依本校教師升等規定</w:t>
      </w:r>
      <w:r w:rsidRPr="00EC060F">
        <w:rPr>
          <w:rFonts w:ascii="標楷體" w:eastAsia="標楷體" w:hAnsi="標楷體" w:hint="eastAsia"/>
          <w:b/>
          <w:u w:val="single"/>
        </w:rPr>
        <w:t>及教育部「專科以上學校教師資格審定辦法」</w:t>
      </w:r>
      <w:r w:rsidRPr="00EC060F">
        <w:rPr>
          <w:rFonts w:ascii="標楷體" w:eastAsia="標楷體" w:hAnsi="標楷體" w:hint="eastAsia"/>
        </w:rPr>
        <w:t>辦理之。</w:t>
      </w:r>
    </w:p>
    <w:p w:rsidR="004B2E78" w:rsidRDefault="004B2E78" w:rsidP="004B2E78">
      <w:pPr>
        <w:ind w:left="1440" w:hanging="1440"/>
        <w:rPr>
          <w:rFonts w:ascii="Book Antiqua" w:hAnsi="Book Antiqua"/>
          <w:b/>
          <w:bCs/>
        </w:rPr>
      </w:pPr>
      <w:r>
        <w:rPr>
          <w:rFonts w:ascii="標楷體" w:eastAsia="標楷體" w:hAnsi="標楷體" w:hint="eastAsia"/>
          <w:b/>
          <w:bCs/>
        </w:rPr>
        <w:t>第十一條</w:t>
      </w:r>
      <w:r>
        <w:rPr>
          <w:rFonts w:ascii="Book Antiqua" w:hAnsi="Book Antiqua"/>
          <w:b/>
          <w:bCs/>
        </w:rPr>
        <w:t xml:space="preserve"> (</w:t>
      </w:r>
      <w:r>
        <w:rPr>
          <w:rFonts w:ascii="標楷體" w:eastAsia="標楷體" w:hAnsi="標楷體" w:hint="eastAsia"/>
          <w:b/>
          <w:bCs/>
        </w:rPr>
        <w:t>實施與修正</w:t>
      </w:r>
      <w:r>
        <w:rPr>
          <w:rFonts w:ascii="Book Antiqua" w:hAnsi="Book Antiqua"/>
          <w:b/>
          <w:bCs/>
        </w:rPr>
        <w:t>)</w:t>
      </w:r>
    </w:p>
    <w:p w:rsidR="004B2E78" w:rsidRDefault="004B2E78" w:rsidP="004B2E78">
      <w:pPr>
        <w:ind w:leftChars="300" w:left="720"/>
        <w:rPr>
          <w:rFonts w:ascii="Book Antiqua" w:hAnsi="Book Antiqua"/>
        </w:rPr>
      </w:pPr>
      <w:r>
        <w:rPr>
          <w:rFonts w:ascii="標楷體" w:eastAsia="標楷體" w:hAnsi="標楷體" w:hint="eastAsia"/>
        </w:rPr>
        <w:t>本要點經本系教師評審委員會通過，並經院級及校級教師評審委員會通過後公布施行。</w:t>
      </w:r>
    </w:p>
    <w:p w:rsidR="004B2E78" w:rsidRDefault="004B2E78"/>
    <w:sectPr w:rsidR="004B2E7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E7A" w:rsidRDefault="00231E7A" w:rsidP="00EC060F">
      <w:r>
        <w:separator/>
      </w:r>
    </w:p>
  </w:endnote>
  <w:endnote w:type="continuationSeparator" w:id="0">
    <w:p w:rsidR="00231E7A" w:rsidRDefault="00231E7A" w:rsidP="00EC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E7A" w:rsidRDefault="00231E7A" w:rsidP="00EC060F">
      <w:r>
        <w:separator/>
      </w:r>
    </w:p>
  </w:footnote>
  <w:footnote w:type="continuationSeparator" w:id="0">
    <w:p w:rsidR="00231E7A" w:rsidRDefault="00231E7A" w:rsidP="00EC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25142"/>
    <w:multiLevelType w:val="hybridMultilevel"/>
    <w:tmpl w:val="9702CD8A"/>
    <w:lvl w:ilvl="0" w:tplc="C60AF9E4">
      <w:start w:val="1"/>
      <w:numFmt w:val="taiwaneseCountingThousand"/>
      <w:lvlText w:val="第%1條"/>
      <w:lvlJc w:val="left"/>
      <w:pPr>
        <w:tabs>
          <w:tab w:val="num" w:pos="840"/>
        </w:tabs>
        <w:ind w:left="840" w:hanging="840"/>
      </w:pPr>
      <w:rPr>
        <w:rFonts w:ascii="標楷體" w:eastAsia="標楷體" w:hAnsi="標楷體"/>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78"/>
    <w:rsid w:val="0005196F"/>
    <w:rsid w:val="000D3E66"/>
    <w:rsid w:val="001045BE"/>
    <w:rsid w:val="00230E30"/>
    <w:rsid w:val="00231E7A"/>
    <w:rsid w:val="004B2E78"/>
    <w:rsid w:val="005462C3"/>
    <w:rsid w:val="00570117"/>
    <w:rsid w:val="00681130"/>
    <w:rsid w:val="00825F32"/>
    <w:rsid w:val="008831E8"/>
    <w:rsid w:val="008A3B22"/>
    <w:rsid w:val="009635CE"/>
    <w:rsid w:val="009E7856"/>
    <w:rsid w:val="00AF3DCA"/>
    <w:rsid w:val="00CF597D"/>
    <w:rsid w:val="00DC00BE"/>
    <w:rsid w:val="00E832D3"/>
    <w:rsid w:val="00EC060F"/>
    <w:rsid w:val="00F90226"/>
    <w:rsid w:val="00FE1B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58673"/>
  <w15:chartTrackingRefBased/>
  <w15:docId w15:val="{7F2D8B07-FB18-49F4-AE62-391384D5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E78"/>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60F"/>
    <w:pPr>
      <w:tabs>
        <w:tab w:val="center" w:pos="4153"/>
        <w:tab w:val="right" w:pos="8306"/>
      </w:tabs>
      <w:snapToGrid w:val="0"/>
    </w:pPr>
    <w:rPr>
      <w:sz w:val="20"/>
      <w:szCs w:val="20"/>
    </w:rPr>
  </w:style>
  <w:style w:type="character" w:customStyle="1" w:styleId="a4">
    <w:name w:val="頁首 字元"/>
    <w:basedOn w:val="a0"/>
    <w:link w:val="a3"/>
    <w:uiPriority w:val="99"/>
    <w:rsid w:val="00EC060F"/>
    <w:rPr>
      <w:rFonts w:ascii="Calibri" w:eastAsia="新細明體" w:hAnsi="Calibri" w:cs="Calibri"/>
      <w:kern w:val="0"/>
      <w:sz w:val="20"/>
      <w:szCs w:val="20"/>
    </w:rPr>
  </w:style>
  <w:style w:type="paragraph" w:styleId="a5">
    <w:name w:val="footer"/>
    <w:basedOn w:val="a"/>
    <w:link w:val="a6"/>
    <w:uiPriority w:val="99"/>
    <w:unhideWhenUsed/>
    <w:rsid w:val="00EC060F"/>
    <w:pPr>
      <w:tabs>
        <w:tab w:val="center" w:pos="4153"/>
        <w:tab w:val="right" w:pos="8306"/>
      </w:tabs>
      <w:snapToGrid w:val="0"/>
    </w:pPr>
    <w:rPr>
      <w:sz w:val="20"/>
      <w:szCs w:val="20"/>
    </w:rPr>
  </w:style>
  <w:style w:type="character" w:customStyle="1" w:styleId="a6">
    <w:name w:val="頁尾 字元"/>
    <w:basedOn w:val="a0"/>
    <w:link w:val="a5"/>
    <w:uiPriority w:val="99"/>
    <w:rsid w:val="00EC060F"/>
    <w:rPr>
      <w:rFonts w:ascii="Calibri" w:eastAsia="新細明體" w:hAnsi="Calibri" w:cs="Calibri"/>
      <w:kern w:val="0"/>
      <w:sz w:val="20"/>
      <w:szCs w:val="20"/>
    </w:rPr>
  </w:style>
  <w:style w:type="paragraph" w:styleId="a7">
    <w:name w:val="Balloon Text"/>
    <w:basedOn w:val="a"/>
    <w:link w:val="a8"/>
    <w:uiPriority w:val="99"/>
    <w:semiHidden/>
    <w:unhideWhenUsed/>
    <w:rsid w:val="00EC060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C060F"/>
    <w:rPr>
      <w:rFonts w:asciiTheme="majorHAnsi" w:eastAsiaTheme="majorEastAsia" w:hAnsiTheme="majorHAnsi" w:cstheme="majorBidi"/>
      <w:kern w:val="0"/>
      <w:sz w:val="18"/>
      <w:szCs w:val="18"/>
    </w:rPr>
  </w:style>
  <w:style w:type="paragraph" w:customStyle="1" w:styleId="a9">
    <w:name w:val="辦法日期"/>
    <w:basedOn w:val="a"/>
    <w:rsid w:val="00FE1B1D"/>
    <w:pPr>
      <w:widowControl w:val="0"/>
      <w:ind w:firstLine="799"/>
    </w:pPr>
    <w:rPr>
      <w:rFonts w:ascii="Times New Roman" w:eastAsia="標楷體" w:hAnsi="Times New Roman" w:cs="Arial"/>
      <w:color w:val="000000"/>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4065">
      <w:bodyDiv w:val="1"/>
      <w:marLeft w:val="0"/>
      <w:marRight w:val="0"/>
      <w:marTop w:val="0"/>
      <w:marBottom w:val="0"/>
      <w:divBdr>
        <w:top w:val="none" w:sz="0" w:space="0" w:color="auto"/>
        <w:left w:val="none" w:sz="0" w:space="0" w:color="auto"/>
        <w:bottom w:val="none" w:sz="0" w:space="0" w:color="auto"/>
        <w:right w:val="none" w:sz="0" w:space="0" w:color="auto"/>
      </w:divBdr>
    </w:div>
    <w:div w:id="3683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林聖鈐</dc:creator>
  <cp:keywords/>
  <dc:description/>
  <cp:lastModifiedBy>林聖鈐</cp:lastModifiedBy>
  <cp:revision>6</cp:revision>
  <cp:lastPrinted>2020-11-16T03:12:00Z</cp:lastPrinted>
  <dcterms:created xsi:type="dcterms:W3CDTF">2021-02-18T08:39:00Z</dcterms:created>
  <dcterms:modified xsi:type="dcterms:W3CDTF">2021-03-25T08:56:00Z</dcterms:modified>
</cp:coreProperties>
</file>