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A0" w:rsidRPr="00C86BA5" w:rsidRDefault="005069A0" w:rsidP="005069A0">
      <w:pPr>
        <w:pStyle w:val="a3"/>
        <w:jc w:val="center"/>
        <w:rPr>
          <w:color w:val="000000" w:themeColor="text1"/>
          <w:sz w:val="30"/>
          <w:szCs w:val="30"/>
        </w:rPr>
      </w:pPr>
      <w:r w:rsidRPr="00C86BA5">
        <w:rPr>
          <w:rFonts w:hint="eastAsia"/>
          <w:color w:val="000000" w:themeColor="text1"/>
          <w:sz w:val="30"/>
          <w:szCs w:val="30"/>
        </w:rPr>
        <w:t>德明財經科技大學不動產投資與經營學位學程教師研究成果評量</w:t>
      </w:r>
      <w:r w:rsidR="00AF339D" w:rsidRPr="00C86BA5">
        <w:rPr>
          <w:rFonts w:hint="eastAsia"/>
          <w:color w:val="000000" w:themeColor="text1"/>
          <w:sz w:val="30"/>
          <w:szCs w:val="30"/>
        </w:rPr>
        <w:t>審查</w:t>
      </w:r>
      <w:r w:rsidR="008C50B5" w:rsidRPr="00C86BA5">
        <w:rPr>
          <w:rFonts w:hint="eastAsia"/>
          <w:color w:val="000000" w:themeColor="text1"/>
          <w:sz w:val="30"/>
          <w:szCs w:val="30"/>
        </w:rPr>
        <w:t>要點</w:t>
      </w:r>
    </w:p>
    <w:p w:rsidR="005069A0" w:rsidRPr="00C86BA5" w:rsidRDefault="005069A0" w:rsidP="00CE02C9">
      <w:pPr>
        <w:pStyle w:val="a4"/>
        <w:spacing w:line="240" w:lineRule="atLeast"/>
        <w:rPr>
          <w:rFonts w:ascii="標楷體" w:hAnsi="標楷體"/>
          <w:color w:val="000000" w:themeColor="text1"/>
          <w:szCs w:val="20"/>
        </w:rPr>
      </w:pPr>
      <w:r w:rsidRPr="00C86BA5">
        <w:rPr>
          <w:rFonts w:ascii="標楷體" w:hAnsi="標楷體" w:hint="eastAsia"/>
          <w:color w:val="000000" w:themeColor="text1"/>
          <w:szCs w:val="20"/>
        </w:rPr>
        <w:t>中華民國</w:t>
      </w:r>
      <w:r w:rsidR="00556B6B">
        <w:rPr>
          <w:rFonts w:ascii="標楷體" w:hAnsi="標楷體" w:hint="eastAsia"/>
          <w:color w:val="000000" w:themeColor="text1"/>
          <w:szCs w:val="20"/>
        </w:rPr>
        <w:t>103</w:t>
      </w:r>
      <w:r w:rsidRPr="00C86BA5">
        <w:rPr>
          <w:rFonts w:ascii="標楷體" w:hAnsi="標楷體" w:hint="eastAsia"/>
          <w:color w:val="000000" w:themeColor="text1"/>
          <w:szCs w:val="20"/>
        </w:rPr>
        <w:t>年</w:t>
      </w:r>
      <w:r w:rsidR="00556B6B">
        <w:rPr>
          <w:rFonts w:ascii="標楷體" w:hAnsi="標楷體" w:hint="eastAsia"/>
          <w:color w:val="000000" w:themeColor="text1"/>
          <w:szCs w:val="20"/>
        </w:rPr>
        <w:t>3</w:t>
      </w:r>
      <w:r w:rsidRPr="00C86BA5">
        <w:rPr>
          <w:rFonts w:ascii="標楷體" w:hAnsi="標楷體" w:hint="eastAsia"/>
          <w:color w:val="000000" w:themeColor="text1"/>
          <w:szCs w:val="20"/>
        </w:rPr>
        <w:t>月</w:t>
      </w:r>
      <w:r w:rsidR="00556B6B">
        <w:rPr>
          <w:rFonts w:ascii="標楷體" w:hAnsi="標楷體" w:hint="eastAsia"/>
          <w:color w:val="000000" w:themeColor="text1"/>
          <w:szCs w:val="20"/>
        </w:rPr>
        <w:t>14</w:t>
      </w:r>
      <w:r w:rsidRPr="00C86BA5">
        <w:rPr>
          <w:rFonts w:ascii="標楷體" w:hAnsi="標楷體" w:hint="eastAsia"/>
          <w:color w:val="000000" w:themeColor="text1"/>
          <w:szCs w:val="20"/>
        </w:rPr>
        <w:t>日學程會議訂定</w:t>
      </w:r>
    </w:p>
    <w:p w:rsidR="005069A0" w:rsidRPr="00C86BA5" w:rsidRDefault="00556B6B" w:rsidP="00CE02C9">
      <w:pPr>
        <w:pStyle w:val="a4"/>
        <w:spacing w:line="240" w:lineRule="atLeast"/>
        <w:rPr>
          <w:b/>
          <w:color w:val="000000" w:themeColor="text1"/>
        </w:rPr>
      </w:pPr>
      <w:r>
        <w:rPr>
          <w:rFonts w:ascii="標楷體" w:hAnsi="標楷體" w:hint="eastAsia"/>
          <w:color w:val="000000" w:themeColor="text1"/>
          <w:szCs w:val="20"/>
        </w:rPr>
        <w:t>中華民國104</w:t>
      </w:r>
      <w:r w:rsidR="005069A0" w:rsidRPr="00C86BA5">
        <w:rPr>
          <w:rFonts w:ascii="標楷體" w:hAnsi="標楷體" w:hint="eastAsia"/>
          <w:color w:val="000000" w:themeColor="text1"/>
          <w:szCs w:val="20"/>
        </w:rPr>
        <w:t>年</w:t>
      </w:r>
      <w:r>
        <w:rPr>
          <w:rFonts w:ascii="標楷體" w:hAnsi="標楷體" w:hint="eastAsia"/>
          <w:color w:val="000000" w:themeColor="text1"/>
          <w:szCs w:val="20"/>
        </w:rPr>
        <w:t>3</w:t>
      </w:r>
      <w:r w:rsidR="005069A0" w:rsidRPr="00C86BA5">
        <w:rPr>
          <w:rFonts w:ascii="標楷體" w:hAnsi="標楷體" w:hint="eastAsia"/>
          <w:color w:val="000000" w:themeColor="text1"/>
          <w:szCs w:val="20"/>
        </w:rPr>
        <w:t>月</w:t>
      </w:r>
      <w:r>
        <w:rPr>
          <w:rFonts w:ascii="標楷體" w:hAnsi="標楷體" w:hint="eastAsia"/>
          <w:color w:val="000000" w:themeColor="text1"/>
          <w:szCs w:val="20"/>
        </w:rPr>
        <w:t>18</w:t>
      </w:r>
      <w:r w:rsidR="005069A0" w:rsidRPr="00C86BA5">
        <w:rPr>
          <w:rFonts w:ascii="標楷體" w:hAnsi="標楷體" w:hint="eastAsia"/>
          <w:color w:val="000000" w:themeColor="text1"/>
          <w:szCs w:val="20"/>
        </w:rPr>
        <w:t>日學程會議修訂</w:t>
      </w:r>
    </w:p>
    <w:p w:rsidR="005069A0" w:rsidRPr="00556B6B" w:rsidRDefault="00556B6B" w:rsidP="00556B6B">
      <w:pPr>
        <w:pStyle w:val="a4"/>
        <w:spacing w:line="240" w:lineRule="atLeast"/>
        <w:rPr>
          <w:rFonts w:ascii="標楷體" w:hAnsi="標楷體"/>
          <w:color w:val="000000" w:themeColor="text1"/>
          <w:szCs w:val="20"/>
        </w:rPr>
      </w:pPr>
      <w:r>
        <w:rPr>
          <w:rFonts w:ascii="標楷體" w:hAnsi="標楷體" w:hint="eastAsia"/>
          <w:color w:val="000000" w:themeColor="text1"/>
          <w:szCs w:val="20"/>
        </w:rPr>
        <w:t>中華民國104</w:t>
      </w:r>
      <w:r w:rsidR="005069A0" w:rsidRPr="00C86BA5">
        <w:rPr>
          <w:rFonts w:ascii="標楷體" w:hAnsi="標楷體" w:hint="eastAsia"/>
          <w:color w:val="000000" w:themeColor="text1"/>
          <w:szCs w:val="20"/>
        </w:rPr>
        <w:t>年</w:t>
      </w:r>
      <w:r>
        <w:rPr>
          <w:rFonts w:ascii="標楷體" w:hAnsi="標楷體" w:hint="eastAsia"/>
          <w:color w:val="000000" w:themeColor="text1"/>
          <w:szCs w:val="20"/>
        </w:rPr>
        <w:t>3</w:t>
      </w:r>
      <w:r w:rsidR="005069A0" w:rsidRPr="00C86BA5">
        <w:rPr>
          <w:rFonts w:ascii="標楷體" w:hAnsi="標楷體" w:hint="eastAsia"/>
          <w:color w:val="000000" w:themeColor="text1"/>
          <w:szCs w:val="20"/>
        </w:rPr>
        <w:t>月</w:t>
      </w:r>
      <w:r>
        <w:rPr>
          <w:rFonts w:ascii="標楷體" w:hAnsi="標楷體" w:hint="eastAsia"/>
          <w:color w:val="000000" w:themeColor="text1"/>
          <w:szCs w:val="20"/>
        </w:rPr>
        <w:t>24</w:t>
      </w:r>
      <w:r w:rsidR="005069A0" w:rsidRPr="00C86BA5">
        <w:rPr>
          <w:rFonts w:ascii="標楷體" w:hAnsi="標楷體" w:hint="eastAsia"/>
          <w:color w:val="000000" w:themeColor="text1"/>
          <w:szCs w:val="20"/>
        </w:rPr>
        <w:t>日院教評會議修訂通過</w:t>
      </w:r>
    </w:p>
    <w:p w:rsidR="005069A0" w:rsidRPr="00C86BA5" w:rsidRDefault="005069A0" w:rsidP="00556B6B">
      <w:pPr>
        <w:pStyle w:val="a4"/>
        <w:spacing w:line="240" w:lineRule="atLeast"/>
        <w:ind w:firstLine="0"/>
        <w:rPr>
          <w:color w:val="000000" w:themeColor="text1"/>
          <w:spacing w:val="-4"/>
        </w:rPr>
      </w:pPr>
      <w:r w:rsidRPr="00C86BA5">
        <w:rPr>
          <w:rFonts w:hint="eastAsia"/>
          <w:color w:val="000000" w:themeColor="text1"/>
        </w:rPr>
        <w:t xml:space="preserve">        </w:t>
      </w:r>
      <w:r w:rsidR="00556B6B">
        <w:rPr>
          <w:rFonts w:ascii="標楷體" w:hAnsi="標楷體" w:hint="eastAsia"/>
          <w:color w:val="000000" w:themeColor="text1"/>
          <w:szCs w:val="20"/>
        </w:rPr>
        <w:t>中華民國104</w:t>
      </w:r>
      <w:r w:rsidRPr="00C86BA5">
        <w:rPr>
          <w:rFonts w:ascii="標楷體" w:hAnsi="標楷體" w:hint="eastAsia"/>
          <w:color w:val="000000" w:themeColor="text1"/>
          <w:szCs w:val="20"/>
        </w:rPr>
        <w:t>年</w:t>
      </w:r>
      <w:r w:rsidR="00556B6B">
        <w:rPr>
          <w:rFonts w:ascii="標楷體" w:hAnsi="標楷體" w:hint="eastAsia"/>
          <w:color w:val="000000" w:themeColor="text1"/>
          <w:szCs w:val="20"/>
        </w:rPr>
        <w:t>7</w:t>
      </w:r>
      <w:r w:rsidRPr="00C86BA5">
        <w:rPr>
          <w:rFonts w:ascii="標楷體" w:hAnsi="標楷體" w:hint="eastAsia"/>
          <w:color w:val="000000" w:themeColor="text1"/>
          <w:szCs w:val="20"/>
        </w:rPr>
        <w:t>月</w:t>
      </w:r>
      <w:r w:rsidR="00556B6B">
        <w:rPr>
          <w:rFonts w:ascii="標楷體" w:hAnsi="標楷體" w:hint="eastAsia"/>
          <w:color w:val="000000" w:themeColor="text1"/>
          <w:szCs w:val="20"/>
        </w:rPr>
        <w:t>23</w:t>
      </w:r>
      <w:r w:rsidRPr="00C86BA5">
        <w:rPr>
          <w:rFonts w:ascii="標楷體" w:hAnsi="標楷體" w:hint="eastAsia"/>
          <w:color w:val="000000" w:themeColor="text1"/>
          <w:szCs w:val="20"/>
        </w:rPr>
        <w:t>日校教評會議修訂通過</w:t>
      </w:r>
      <w:r w:rsidR="00082B69" w:rsidRPr="00C86BA5">
        <w:rPr>
          <w:rFonts w:hint="eastAsia"/>
          <w:color w:val="000000" w:themeColor="text1"/>
        </w:rPr>
        <w:t>暨民國</w:t>
      </w:r>
      <w:r w:rsidR="00082B69" w:rsidRPr="00C86BA5">
        <w:rPr>
          <w:color w:val="000000" w:themeColor="text1"/>
        </w:rPr>
        <w:t>104</w:t>
      </w:r>
      <w:r w:rsidR="00082B69" w:rsidRPr="00C86BA5">
        <w:rPr>
          <w:rFonts w:ascii="標楷體" w:hAnsi="標楷體" w:hint="eastAsia"/>
          <w:color w:val="000000" w:themeColor="text1"/>
        </w:rPr>
        <w:t>年8月25</w:t>
      </w:r>
      <w:r w:rsidR="00082B69" w:rsidRPr="00C86BA5">
        <w:rPr>
          <w:rFonts w:hint="eastAsia"/>
          <w:color w:val="000000" w:themeColor="text1"/>
        </w:rPr>
        <w:t>日</w:t>
      </w:r>
      <w:r w:rsidR="00082B69" w:rsidRPr="00C86BA5">
        <w:rPr>
          <w:color w:val="000000" w:themeColor="text1"/>
          <w:spacing w:val="-4"/>
        </w:rPr>
        <w:t>(104)</w:t>
      </w:r>
      <w:r w:rsidR="00082B69" w:rsidRPr="00C86BA5">
        <w:rPr>
          <w:rFonts w:hint="eastAsia"/>
          <w:color w:val="000000" w:themeColor="text1"/>
          <w:spacing w:val="-4"/>
        </w:rPr>
        <w:t>德</w:t>
      </w:r>
      <w:proofErr w:type="gramStart"/>
      <w:r w:rsidR="00082B69" w:rsidRPr="00C86BA5">
        <w:rPr>
          <w:rFonts w:hint="eastAsia"/>
          <w:color w:val="000000" w:themeColor="text1"/>
          <w:spacing w:val="-4"/>
        </w:rPr>
        <w:t>不動產通字</w:t>
      </w:r>
      <w:r w:rsidR="00082B69" w:rsidRPr="00C86BA5">
        <w:rPr>
          <w:rFonts w:ascii="標楷體" w:hAnsi="標楷體" w:hint="eastAsia"/>
          <w:color w:val="000000" w:themeColor="text1"/>
          <w:spacing w:val="-4"/>
        </w:rPr>
        <w:t>第002</w:t>
      </w:r>
      <w:r w:rsidR="00082B69" w:rsidRPr="00C86BA5">
        <w:rPr>
          <w:rFonts w:hint="eastAsia"/>
          <w:color w:val="000000" w:themeColor="text1"/>
          <w:spacing w:val="-4"/>
        </w:rPr>
        <w:t>號</w:t>
      </w:r>
      <w:proofErr w:type="gramEnd"/>
      <w:r w:rsidR="00082B69" w:rsidRPr="00C86BA5">
        <w:rPr>
          <w:rFonts w:hint="eastAsia"/>
          <w:color w:val="000000" w:themeColor="text1"/>
          <w:spacing w:val="-4"/>
        </w:rPr>
        <w:t>公布</w:t>
      </w:r>
    </w:p>
    <w:p w:rsidR="003F4D36" w:rsidRPr="00C86BA5" w:rsidRDefault="003F4D36" w:rsidP="003F4D36">
      <w:pPr>
        <w:pStyle w:val="a4"/>
        <w:spacing w:line="240" w:lineRule="atLeast"/>
        <w:rPr>
          <w:rFonts w:ascii="標楷體" w:hAnsi="標楷體"/>
          <w:color w:val="000000" w:themeColor="text1"/>
          <w:szCs w:val="20"/>
        </w:rPr>
      </w:pPr>
      <w:r w:rsidRPr="00C86BA5">
        <w:rPr>
          <w:rFonts w:ascii="標楷體" w:hAnsi="標楷體" w:hint="eastAsia"/>
          <w:color w:val="000000" w:themeColor="text1"/>
          <w:szCs w:val="20"/>
        </w:rPr>
        <w:t>中華民國</w:t>
      </w:r>
      <w:r w:rsidR="00556B6B">
        <w:rPr>
          <w:rFonts w:ascii="標楷體" w:hAnsi="標楷體" w:hint="eastAsia"/>
          <w:color w:val="000000" w:themeColor="text1"/>
          <w:szCs w:val="20"/>
        </w:rPr>
        <w:t>105</w:t>
      </w:r>
      <w:r w:rsidRPr="00C86BA5">
        <w:rPr>
          <w:rFonts w:ascii="標楷體" w:hAnsi="標楷體" w:hint="eastAsia"/>
          <w:color w:val="000000" w:themeColor="text1"/>
          <w:szCs w:val="20"/>
        </w:rPr>
        <w:t>年</w:t>
      </w:r>
      <w:r w:rsidR="00556B6B">
        <w:rPr>
          <w:rFonts w:ascii="標楷體" w:hAnsi="標楷體" w:hint="eastAsia"/>
          <w:color w:val="000000" w:themeColor="text1"/>
          <w:szCs w:val="20"/>
        </w:rPr>
        <w:t>6</w:t>
      </w:r>
      <w:r w:rsidRPr="00C86BA5">
        <w:rPr>
          <w:rFonts w:ascii="標楷體" w:hAnsi="標楷體" w:hint="eastAsia"/>
          <w:color w:val="000000" w:themeColor="text1"/>
          <w:szCs w:val="20"/>
        </w:rPr>
        <w:t>月</w:t>
      </w:r>
      <w:r w:rsidR="00556B6B">
        <w:rPr>
          <w:rFonts w:ascii="標楷體" w:hAnsi="標楷體" w:hint="eastAsia"/>
          <w:color w:val="000000" w:themeColor="text1"/>
          <w:szCs w:val="20"/>
        </w:rPr>
        <w:t>27</w:t>
      </w:r>
      <w:r w:rsidRPr="00C86BA5">
        <w:rPr>
          <w:rFonts w:ascii="標楷體" w:hAnsi="標楷體" w:hint="eastAsia"/>
          <w:color w:val="000000" w:themeColor="text1"/>
          <w:szCs w:val="20"/>
        </w:rPr>
        <w:t>日學程會議修訂</w:t>
      </w:r>
      <w:r w:rsidR="00556B6B" w:rsidRPr="00C86BA5">
        <w:rPr>
          <w:rFonts w:ascii="標楷體" w:hAnsi="標楷體" w:hint="eastAsia"/>
          <w:color w:val="000000" w:themeColor="text1"/>
          <w:szCs w:val="20"/>
        </w:rPr>
        <w:t>通過</w:t>
      </w:r>
      <w:r w:rsidR="00556B6B" w:rsidRPr="00C86BA5">
        <w:rPr>
          <w:rFonts w:hint="eastAsia"/>
          <w:color w:val="000000" w:themeColor="text1"/>
        </w:rPr>
        <w:t>暨民國</w:t>
      </w:r>
      <w:r w:rsidR="00556B6B">
        <w:rPr>
          <w:rFonts w:hint="eastAsia"/>
          <w:color w:val="000000" w:themeColor="text1"/>
        </w:rPr>
        <w:t>105</w:t>
      </w:r>
      <w:r w:rsidR="00556B6B" w:rsidRPr="00C86BA5">
        <w:rPr>
          <w:rFonts w:ascii="標楷體" w:hAnsi="標楷體" w:hint="eastAsia"/>
          <w:color w:val="000000" w:themeColor="text1"/>
        </w:rPr>
        <w:t>年</w:t>
      </w:r>
      <w:r w:rsidR="00556B6B">
        <w:rPr>
          <w:rFonts w:ascii="標楷體" w:hAnsi="標楷體" w:hint="eastAsia"/>
          <w:color w:val="000000" w:themeColor="text1"/>
        </w:rPr>
        <w:t>7</w:t>
      </w:r>
      <w:r w:rsidR="00556B6B" w:rsidRPr="00C86BA5">
        <w:rPr>
          <w:rFonts w:ascii="標楷體" w:hAnsi="標楷體" w:hint="eastAsia"/>
          <w:color w:val="000000" w:themeColor="text1"/>
        </w:rPr>
        <w:t>月2</w:t>
      </w:r>
      <w:r w:rsidR="00556B6B">
        <w:rPr>
          <w:rFonts w:ascii="標楷體" w:hAnsi="標楷體" w:hint="eastAsia"/>
          <w:color w:val="000000" w:themeColor="text1"/>
        </w:rPr>
        <w:t>8</w:t>
      </w:r>
      <w:r w:rsidR="00556B6B" w:rsidRPr="00C86BA5">
        <w:rPr>
          <w:rFonts w:hint="eastAsia"/>
          <w:color w:val="000000" w:themeColor="text1"/>
        </w:rPr>
        <w:t>日</w:t>
      </w:r>
      <w:r w:rsidR="00556B6B" w:rsidRPr="00C86BA5">
        <w:rPr>
          <w:color w:val="000000" w:themeColor="text1"/>
          <w:spacing w:val="-4"/>
        </w:rPr>
        <w:t>(10</w:t>
      </w:r>
      <w:r w:rsidR="00556B6B">
        <w:rPr>
          <w:rFonts w:hint="eastAsia"/>
          <w:color w:val="000000" w:themeColor="text1"/>
          <w:spacing w:val="-4"/>
        </w:rPr>
        <w:t>5</w:t>
      </w:r>
      <w:r w:rsidR="00556B6B" w:rsidRPr="00C86BA5">
        <w:rPr>
          <w:color w:val="000000" w:themeColor="text1"/>
          <w:spacing w:val="-4"/>
        </w:rPr>
        <w:t>)</w:t>
      </w:r>
      <w:r w:rsidR="00556B6B" w:rsidRPr="00C86BA5">
        <w:rPr>
          <w:rFonts w:hint="eastAsia"/>
          <w:color w:val="000000" w:themeColor="text1"/>
          <w:spacing w:val="-4"/>
        </w:rPr>
        <w:t>德不動產通字</w:t>
      </w:r>
      <w:r w:rsidR="00556B6B" w:rsidRPr="00C86BA5">
        <w:rPr>
          <w:rFonts w:ascii="標楷體" w:hAnsi="標楷體" w:hint="eastAsia"/>
          <w:color w:val="000000" w:themeColor="text1"/>
          <w:spacing w:val="-4"/>
        </w:rPr>
        <w:t>第</w:t>
      </w:r>
      <w:bookmarkStart w:id="0" w:name="_GoBack"/>
      <w:bookmarkEnd w:id="0"/>
      <w:r w:rsidR="00556B6B" w:rsidRPr="00C86BA5">
        <w:rPr>
          <w:rFonts w:ascii="標楷體" w:hAnsi="標楷體" w:hint="eastAsia"/>
          <w:color w:val="000000" w:themeColor="text1"/>
          <w:spacing w:val="-4"/>
        </w:rPr>
        <w:t>002</w:t>
      </w:r>
      <w:r w:rsidR="00556B6B" w:rsidRPr="00C86BA5">
        <w:rPr>
          <w:rFonts w:hint="eastAsia"/>
          <w:color w:val="000000" w:themeColor="text1"/>
          <w:spacing w:val="-4"/>
        </w:rPr>
        <w:t>號公布</w:t>
      </w:r>
    </w:p>
    <w:p w:rsidR="00A80F05" w:rsidRPr="00C86BA5" w:rsidRDefault="00A80F05" w:rsidP="001B4673">
      <w:pPr>
        <w:pStyle w:val="a4"/>
        <w:rPr>
          <w:rFonts w:cs="Times New Roman"/>
          <w:b/>
          <w:color w:val="000000" w:themeColor="text1"/>
          <w:szCs w:val="20"/>
        </w:rPr>
      </w:pPr>
    </w:p>
    <w:p w:rsidR="003C1012" w:rsidRPr="00C86BA5" w:rsidRDefault="003C1012" w:rsidP="003C1012">
      <w:pPr>
        <w:ind w:left="1441" w:hanging="1441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第一條(依據)</w:t>
      </w:r>
    </w:p>
    <w:p w:rsidR="003C1012" w:rsidRPr="00C86BA5" w:rsidRDefault="003C1012" w:rsidP="00082B69">
      <w:pPr>
        <w:spacing w:afterLines="50" w:after="180"/>
        <w:ind w:leftChars="300" w:left="72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德明財經科技大學</w:t>
      </w:r>
      <w:r w:rsidR="00CF4669" w:rsidRPr="00C86BA5">
        <w:rPr>
          <w:rFonts w:ascii="標楷體" w:eastAsia="標楷體" w:hAnsi="標楷體" w:hint="eastAsia"/>
          <w:color w:val="000000" w:themeColor="text1"/>
        </w:rPr>
        <w:t>不動產投資與經營學位學程</w:t>
      </w:r>
      <w:r w:rsidRPr="00C86BA5">
        <w:rPr>
          <w:rFonts w:ascii="標楷體" w:eastAsia="標楷體" w:hAnsi="標楷體" w:hint="eastAsia"/>
          <w:color w:val="000000" w:themeColor="text1"/>
        </w:rPr>
        <w:t>(以下簡稱本</w:t>
      </w:r>
      <w:r w:rsidR="00CF4669" w:rsidRPr="00C86BA5">
        <w:rPr>
          <w:rFonts w:ascii="標楷體" w:eastAsia="標楷體" w:hAnsi="標楷體" w:hint="eastAsia"/>
          <w:color w:val="000000" w:themeColor="text1"/>
        </w:rPr>
        <w:t>學程</w:t>
      </w:r>
      <w:r w:rsidRPr="00C86BA5">
        <w:rPr>
          <w:rFonts w:ascii="標楷體" w:eastAsia="標楷體" w:hAnsi="標楷體" w:hint="eastAsia"/>
          <w:color w:val="000000" w:themeColor="text1"/>
        </w:rPr>
        <w:t>)依據本校教師升等辦法第五條訂定本</w:t>
      </w:r>
      <w:r w:rsidR="00CF4669" w:rsidRPr="00C86BA5">
        <w:rPr>
          <w:rFonts w:ascii="標楷體" w:eastAsia="標楷體" w:hAnsi="標楷體" w:hint="eastAsia"/>
          <w:color w:val="000000" w:themeColor="text1"/>
        </w:rPr>
        <w:t>學程</w:t>
      </w:r>
      <w:r w:rsidRPr="00C86BA5">
        <w:rPr>
          <w:rFonts w:ascii="標楷體" w:eastAsia="標楷體" w:hAnsi="標楷體" w:hint="eastAsia"/>
          <w:color w:val="000000" w:themeColor="text1"/>
        </w:rPr>
        <w:t>教師研究成果評量</w:t>
      </w:r>
      <w:r w:rsidR="00AF339D" w:rsidRPr="00C86BA5">
        <w:rPr>
          <w:rFonts w:ascii="標楷體" w:eastAsia="標楷體" w:hAnsi="標楷體" w:hint="eastAsia"/>
          <w:color w:val="000000" w:themeColor="text1"/>
        </w:rPr>
        <w:t>審查</w:t>
      </w:r>
      <w:r w:rsidR="0068325E" w:rsidRPr="00C86BA5">
        <w:rPr>
          <w:rFonts w:ascii="標楷體" w:eastAsia="標楷體" w:hAnsi="標楷體" w:hint="eastAsia"/>
          <w:color w:val="000000" w:themeColor="text1"/>
        </w:rPr>
        <w:t>要點</w:t>
      </w:r>
      <w:r w:rsidRPr="00C86BA5">
        <w:rPr>
          <w:rFonts w:ascii="標楷體" w:eastAsia="標楷體" w:hAnsi="標楷體" w:hint="eastAsia"/>
          <w:color w:val="000000" w:themeColor="text1"/>
        </w:rPr>
        <w:t xml:space="preserve"> (以下簡稱本</w:t>
      </w:r>
      <w:r w:rsidR="0068325E" w:rsidRPr="00C86BA5">
        <w:rPr>
          <w:rFonts w:ascii="標楷體" w:eastAsia="標楷體" w:hAnsi="標楷體" w:hint="eastAsia"/>
          <w:color w:val="000000" w:themeColor="text1"/>
        </w:rPr>
        <w:t>要點</w:t>
      </w:r>
      <w:r w:rsidRPr="00C86BA5">
        <w:rPr>
          <w:rFonts w:ascii="標楷體" w:eastAsia="標楷體" w:hAnsi="標楷體" w:hint="eastAsia"/>
          <w:color w:val="000000" w:themeColor="text1"/>
        </w:rPr>
        <w:t>)，訂定教師研究成果之各評審細項標準，以評量教師研究成果並作為教師升等之依據。</w:t>
      </w:r>
    </w:p>
    <w:p w:rsidR="003C1012" w:rsidRPr="00C86BA5" w:rsidRDefault="003C1012" w:rsidP="003C1012">
      <w:pPr>
        <w:ind w:left="1441" w:hanging="1441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 xml:space="preserve">第二條 (評量類別) </w:t>
      </w:r>
    </w:p>
    <w:p w:rsidR="003C1012" w:rsidRPr="00C86BA5" w:rsidRDefault="003C1012" w:rsidP="00082B69">
      <w:pPr>
        <w:spacing w:afterLines="50" w:after="180"/>
        <w:ind w:leftChars="300" w:left="72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本</w:t>
      </w:r>
      <w:r w:rsidR="0068325E" w:rsidRPr="00C86BA5">
        <w:rPr>
          <w:rFonts w:ascii="標楷體" w:eastAsia="標楷體" w:hAnsi="標楷體" w:hint="eastAsia"/>
          <w:color w:val="000000" w:themeColor="text1"/>
        </w:rPr>
        <w:t>要點</w:t>
      </w:r>
      <w:r w:rsidRPr="00C86BA5">
        <w:rPr>
          <w:rFonts w:ascii="標楷體" w:eastAsia="標楷體" w:hAnsi="標楷體" w:hint="eastAsia"/>
          <w:color w:val="000000" w:themeColor="text1"/>
        </w:rPr>
        <w:t>評量類別係指學術升等之專門著作，實務升等之技術報告、教學實務報告及產學實務報告。</w:t>
      </w:r>
    </w:p>
    <w:p w:rsidR="003C1012" w:rsidRPr="00C86BA5" w:rsidRDefault="003C1012" w:rsidP="00082B69">
      <w:pPr>
        <w:spacing w:afterLines="50" w:after="180"/>
        <w:ind w:leftChars="300" w:left="72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學術升等之學位論文升等，依本校教師升等辦法第三條及其他相關規定辦理之。</w:t>
      </w:r>
    </w:p>
    <w:p w:rsidR="003C1012" w:rsidRPr="00C86BA5" w:rsidRDefault="003C1012" w:rsidP="003C1012">
      <w:pPr>
        <w:ind w:left="1441" w:hanging="1441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 xml:space="preserve">第三條 (升等基本門檻) </w:t>
      </w:r>
    </w:p>
    <w:p w:rsidR="003C1012" w:rsidRPr="00C86BA5" w:rsidRDefault="003C1012" w:rsidP="00082B69">
      <w:pPr>
        <w:spacing w:afterLines="50" w:after="180"/>
        <w:ind w:leftChars="300" w:left="72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申請升等教師應提出一篇代表著作及兩篇以上之參考著作。</w:t>
      </w:r>
    </w:p>
    <w:p w:rsidR="003C1012" w:rsidRPr="00C86BA5" w:rsidRDefault="003C1012" w:rsidP="003C1012">
      <w:pPr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第四條 (學術升等職級基本門檻)</w:t>
      </w:r>
    </w:p>
    <w:p w:rsidR="003C1012" w:rsidRPr="00C86BA5" w:rsidRDefault="003C1012" w:rsidP="00082B69">
      <w:pPr>
        <w:spacing w:afterLines="50" w:after="180"/>
        <w:ind w:leftChars="300" w:left="72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以專門著作升等教授者，代表作須為A級著作且是單一作者，著作中至少須有二篇A級著作(含代表作)。</w:t>
      </w:r>
    </w:p>
    <w:p w:rsidR="003C1012" w:rsidRPr="00C86BA5" w:rsidRDefault="003C1012" w:rsidP="00082B69">
      <w:pPr>
        <w:spacing w:afterLines="50" w:after="180"/>
        <w:ind w:leftChars="300" w:left="72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升等副教授者，代表作須為A級著作且是第一作者，著作中至少須有A級及B級著作</w:t>
      </w:r>
      <w:proofErr w:type="gramStart"/>
      <w:r w:rsidRPr="00C86BA5">
        <w:rPr>
          <w:rFonts w:ascii="標楷體" w:eastAsia="標楷體" w:hAnsi="標楷體" w:hint="eastAsia"/>
          <w:color w:val="000000" w:themeColor="text1"/>
        </w:rPr>
        <w:t>各乙篇</w:t>
      </w:r>
      <w:proofErr w:type="gramEnd"/>
      <w:r w:rsidRPr="00C86BA5">
        <w:rPr>
          <w:rFonts w:ascii="標楷體" w:eastAsia="標楷體" w:hAnsi="標楷體" w:hint="eastAsia"/>
          <w:color w:val="000000" w:themeColor="text1"/>
        </w:rPr>
        <w:t xml:space="preserve"> (含代表作)。</w:t>
      </w:r>
    </w:p>
    <w:p w:rsidR="003C1012" w:rsidRPr="00C86BA5" w:rsidRDefault="003C1012" w:rsidP="00082B69">
      <w:pPr>
        <w:spacing w:afterLines="50" w:after="180"/>
        <w:ind w:leftChars="300" w:left="72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升等助理教授者，代表作須為B級著作以上且是第一作者，著作中至少須</w:t>
      </w:r>
      <w:proofErr w:type="gramStart"/>
      <w:r w:rsidRPr="00C86BA5">
        <w:rPr>
          <w:rFonts w:ascii="標楷體" w:eastAsia="標楷體" w:hAnsi="標楷體" w:hint="eastAsia"/>
          <w:color w:val="000000" w:themeColor="text1"/>
        </w:rPr>
        <w:t>有乙篇</w:t>
      </w:r>
      <w:proofErr w:type="gramEnd"/>
      <w:r w:rsidRPr="00C86BA5">
        <w:rPr>
          <w:rFonts w:ascii="標楷體" w:eastAsia="標楷體" w:hAnsi="標楷體" w:hint="eastAsia"/>
          <w:color w:val="000000" w:themeColor="text1"/>
        </w:rPr>
        <w:t>A級著作或者二篇B級著作 (含代表作)。</w:t>
      </w:r>
    </w:p>
    <w:p w:rsidR="003C1012" w:rsidRPr="00C86BA5" w:rsidRDefault="003C1012" w:rsidP="003C1012">
      <w:pPr>
        <w:ind w:left="1440" w:hanging="144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第五條 (專門著作評分標準)</w:t>
      </w:r>
    </w:p>
    <w:p w:rsidR="003C1012" w:rsidRPr="00C86BA5" w:rsidRDefault="003C1012" w:rsidP="003C1012">
      <w:pPr>
        <w:ind w:leftChars="300" w:left="72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學術論文或出版著作，為代表或參考著作之評分標準共分下列三級：</w:t>
      </w:r>
    </w:p>
    <w:p w:rsidR="003C1012" w:rsidRPr="00C86BA5" w:rsidRDefault="003C1012" w:rsidP="003C1012">
      <w:pPr>
        <w:ind w:leftChars="413" w:left="2191" w:hanging="1200"/>
        <w:jc w:val="both"/>
        <w:rPr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一、</w:t>
      </w:r>
      <w:r w:rsidRPr="00C86BA5">
        <w:rPr>
          <w:color w:val="000000" w:themeColor="text1"/>
        </w:rPr>
        <w:t>A</w:t>
      </w:r>
      <w:r w:rsidRPr="00C86BA5">
        <w:rPr>
          <w:rFonts w:ascii="標楷體" w:eastAsia="標楷體" w:hAnsi="標楷體" w:hint="eastAsia"/>
          <w:color w:val="000000" w:themeColor="text1"/>
        </w:rPr>
        <w:t>級：發表於</w:t>
      </w:r>
      <w:r w:rsidRPr="00C86BA5">
        <w:rPr>
          <w:color w:val="000000" w:themeColor="text1"/>
        </w:rPr>
        <w:t>SSCI</w:t>
      </w:r>
      <w:r w:rsidRPr="00C86BA5">
        <w:rPr>
          <w:rFonts w:ascii="標楷體" w:eastAsia="標楷體" w:hAnsi="標楷體" w:hint="eastAsia"/>
          <w:color w:val="000000" w:themeColor="text1"/>
        </w:rPr>
        <w:t>、</w:t>
      </w:r>
      <w:r w:rsidRPr="00C86BA5">
        <w:rPr>
          <w:color w:val="000000" w:themeColor="text1"/>
        </w:rPr>
        <w:t>SCI</w:t>
      </w:r>
      <w:r w:rsidRPr="00C86BA5">
        <w:rPr>
          <w:rFonts w:ascii="標楷體" w:eastAsia="標楷體" w:hAnsi="標楷體" w:hint="eastAsia"/>
          <w:color w:val="000000" w:themeColor="text1"/>
        </w:rPr>
        <w:t>之期刊且影響係數</w:t>
      </w:r>
      <w:r w:rsidRPr="00C86BA5">
        <w:rPr>
          <w:color w:val="000000" w:themeColor="text1"/>
        </w:rPr>
        <w:t>(Impact factor)</w:t>
      </w:r>
      <w:r w:rsidRPr="00C86BA5">
        <w:rPr>
          <w:rFonts w:ascii="標楷體" w:eastAsia="標楷體" w:hAnsi="標楷體" w:hint="eastAsia"/>
          <w:color w:val="000000" w:themeColor="text1"/>
        </w:rPr>
        <w:t>大於</w:t>
      </w:r>
      <w:r w:rsidRPr="00C86BA5">
        <w:rPr>
          <w:color w:val="000000" w:themeColor="text1"/>
        </w:rPr>
        <w:t>0.5</w:t>
      </w:r>
      <w:r w:rsidRPr="00C86BA5">
        <w:rPr>
          <w:rFonts w:ascii="標楷體" w:eastAsia="標楷體" w:hAnsi="標楷體" w:hint="eastAsia"/>
          <w:color w:val="000000" w:themeColor="text1"/>
        </w:rPr>
        <w:t>，評分為</w:t>
      </w:r>
      <w:r w:rsidRPr="00C86BA5">
        <w:rPr>
          <w:color w:val="000000" w:themeColor="text1"/>
        </w:rPr>
        <w:t>25</w:t>
      </w:r>
      <w:r w:rsidRPr="00C86BA5">
        <w:rPr>
          <w:rFonts w:ascii="標楷體" w:eastAsia="標楷體" w:hAnsi="標楷體" w:hint="eastAsia"/>
          <w:color w:val="000000" w:themeColor="text1"/>
        </w:rPr>
        <w:t>分。</w:t>
      </w:r>
    </w:p>
    <w:p w:rsidR="003C1012" w:rsidRPr="00C86BA5" w:rsidRDefault="003C1012" w:rsidP="003C1012">
      <w:pPr>
        <w:ind w:leftChars="413" w:left="2191" w:hanging="1200"/>
        <w:jc w:val="both"/>
        <w:rPr>
          <w:rFonts w:ascii="Calibri" w:hAnsi="Calibri" w:cs="新細明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二、</w:t>
      </w:r>
      <w:r w:rsidRPr="00C86BA5">
        <w:rPr>
          <w:color w:val="000000" w:themeColor="text1"/>
        </w:rPr>
        <w:t>B</w:t>
      </w:r>
      <w:r w:rsidRPr="00C86BA5">
        <w:rPr>
          <w:rFonts w:ascii="標楷體" w:eastAsia="標楷體" w:hAnsi="標楷體" w:hint="eastAsia"/>
          <w:color w:val="000000" w:themeColor="text1"/>
        </w:rPr>
        <w:t>級：發表於</w:t>
      </w:r>
      <w:r w:rsidRPr="00C86BA5">
        <w:rPr>
          <w:color w:val="000000" w:themeColor="text1"/>
        </w:rPr>
        <w:t>SSCI</w:t>
      </w:r>
      <w:r w:rsidRPr="00C86BA5">
        <w:rPr>
          <w:rFonts w:ascii="標楷體" w:eastAsia="標楷體" w:hAnsi="標楷體" w:hint="eastAsia"/>
          <w:color w:val="000000" w:themeColor="text1"/>
        </w:rPr>
        <w:t>、</w:t>
      </w:r>
      <w:r w:rsidRPr="00C86BA5">
        <w:rPr>
          <w:color w:val="000000" w:themeColor="text1"/>
        </w:rPr>
        <w:t>SCI</w:t>
      </w:r>
      <w:r w:rsidRPr="00C86BA5">
        <w:rPr>
          <w:rFonts w:ascii="標楷體" w:eastAsia="標楷體" w:hAnsi="標楷體" w:hint="eastAsia"/>
          <w:color w:val="000000" w:themeColor="text1"/>
        </w:rPr>
        <w:t>之期刊且影響係數</w:t>
      </w:r>
      <w:r w:rsidRPr="00C86BA5">
        <w:rPr>
          <w:color w:val="000000" w:themeColor="text1"/>
        </w:rPr>
        <w:t>(Impact factor)</w:t>
      </w:r>
      <w:r w:rsidRPr="00C86BA5">
        <w:rPr>
          <w:rFonts w:ascii="Vrinda" w:hAnsi="Vrinda" w:cs="Vrinda"/>
          <w:color w:val="000000" w:themeColor="text1"/>
        </w:rPr>
        <w:t>&lt;=</w:t>
      </w:r>
      <w:r w:rsidRPr="00C86BA5">
        <w:rPr>
          <w:color w:val="000000" w:themeColor="text1"/>
        </w:rPr>
        <w:t>0.5</w:t>
      </w:r>
      <w:r w:rsidRPr="00C86BA5">
        <w:rPr>
          <w:rFonts w:ascii="標楷體" w:eastAsia="標楷體" w:hAnsi="標楷體" w:hint="eastAsia"/>
          <w:color w:val="000000" w:themeColor="text1"/>
        </w:rPr>
        <w:t>或發表於</w:t>
      </w:r>
      <w:r w:rsidRPr="00C86BA5">
        <w:rPr>
          <w:color w:val="000000" w:themeColor="text1"/>
        </w:rPr>
        <w:t>TSSCI</w:t>
      </w:r>
      <w:r w:rsidRPr="00C86BA5">
        <w:rPr>
          <w:rFonts w:ascii="標楷體" w:eastAsia="標楷體" w:hAnsi="標楷體" w:hint="eastAsia"/>
          <w:color w:val="000000" w:themeColor="text1"/>
        </w:rPr>
        <w:t>、</w:t>
      </w:r>
      <w:r w:rsidRPr="00C86BA5">
        <w:rPr>
          <w:color w:val="000000" w:themeColor="text1"/>
        </w:rPr>
        <w:t>AHCI</w:t>
      </w:r>
      <w:r w:rsidRPr="00C86BA5">
        <w:rPr>
          <w:rFonts w:ascii="標楷體" w:eastAsia="標楷體" w:hAnsi="標楷體" w:hint="eastAsia"/>
          <w:color w:val="000000" w:themeColor="text1"/>
        </w:rPr>
        <w:t>、</w:t>
      </w:r>
      <w:r w:rsidRPr="00C86BA5">
        <w:rPr>
          <w:color w:val="000000" w:themeColor="text1"/>
        </w:rPr>
        <w:t>EI</w:t>
      </w:r>
      <w:r w:rsidRPr="00C86BA5">
        <w:rPr>
          <w:rFonts w:ascii="標楷體" w:eastAsia="標楷體" w:hAnsi="標楷體" w:hint="eastAsia"/>
          <w:color w:val="000000" w:themeColor="text1"/>
        </w:rPr>
        <w:t>等期刊之學術論文，評分</w:t>
      </w:r>
      <w:r w:rsidRPr="00C86BA5">
        <w:rPr>
          <w:color w:val="000000" w:themeColor="text1"/>
        </w:rPr>
        <w:t>15</w:t>
      </w:r>
      <w:r w:rsidRPr="00C86BA5">
        <w:rPr>
          <w:rFonts w:ascii="標楷體" w:eastAsia="標楷體" w:hAnsi="標楷體" w:hint="eastAsia"/>
          <w:color w:val="000000" w:themeColor="text1"/>
        </w:rPr>
        <w:t>分。</w:t>
      </w:r>
    </w:p>
    <w:p w:rsidR="003C1012" w:rsidRPr="00C86BA5" w:rsidRDefault="003C1012" w:rsidP="003C1012">
      <w:pPr>
        <w:ind w:leftChars="413" w:left="2191" w:hanging="1200"/>
        <w:jc w:val="both"/>
        <w:rPr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三、</w:t>
      </w:r>
      <w:r w:rsidRPr="00C86BA5">
        <w:rPr>
          <w:color w:val="000000" w:themeColor="text1"/>
        </w:rPr>
        <w:t>C</w:t>
      </w:r>
      <w:r w:rsidRPr="00C86BA5">
        <w:rPr>
          <w:rFonts w:ascii="標楷體" w:eastAsia="標楷體" w:hAnsi="標楷體" w:hint="eastAsia"/>
          <w:color w:val="000000" w:themeColor="text1"/>
        </w:rPr>
        <w:t>級：發表於設有匿名評審制度的期刊或專書上之學術論文，評分</w:t>
      </w:r>
      <w:r w:rsidRPr="00C86BA5">
        <w:rPr>
          <w:color w:val="000000" w:themeColor="text1"/>
        </w:rPr>
        <w:t>5</w:t>
      </w:r>
      <w:r w:rsidRPr="00C86BA5">
        <w:rPr>
          <w:rFonts w:ascii="標楷體" w:eastAsia="標楷體" w:hAnsi="標楷體" w:hint="eastAsia"/>
          <w:color w:val="000000" w:themeColor="text1"/>
        </w:rPr>
        <w:t>分。</w:t>
      </w:r>
    </w:p>
    <w:p w:rsidR="003C1012" w:rsidRPr="00C86BA5" w:rsidRDefault="003C1012" w:rsidP="00082B69">
      <w:pPr>
        <w:spacing w:afterLines="50" w:after="180"/>
        <w:ind w:leftChars="300" w:left="720"/>
        <w:rPr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援用</w:t>
      </w:r>
      <w:r w:rsidRPr="00C86BA5">
        <w:rPr>
          <w:color w:val="000000" w:themeColor="text1"/>
        </w:rPr>
        <w:t>SSCI</w:t>
      </w:r>
      <w:r w:rsidRPr="00C86BA5">
        <w:rPr>
          <w:rFonts w:ascii="標楷體" w:eastAsia="標楷體" w:hAnsi="標楷體" w:hint="eastAsia"/>
          <w:color w:val="000000" w:themeColor="text1"/>
        </w:rPr>
        <w:t>、</w:t>
      </w:r>
      <w:r w:rsidRPr="00C86BA5">
        <w:rPr>
          <w:color w:val="000000" w:themeColor="text1"/>
        </w:rPr>
        <w:t>SCI</w:t>
      </w:r>
      <w:r w:rsidRPr="00C86BA5">
        <w:rPr>
          <w:rFonts w:ascii="標楷體" w:eastAsia="標楷體" w:hAnsi="標楷體" w:hint="eastAsia"/>
          <w:color w:val="000000" w:themeColor="text1"/>
        </w:rPr>
        <w:t>等期刊之影響係數及收錄於</w:t>
      </w:r>
      <w:r w:rsidRPr="00C86BA5">
        <w:rPr>
          <w:color w:val="000000" w:themeColor="text1"/>
        </w:rPr>
        <w:t>TSSCI</w:t>
      </w:r>
      <w:r w:rsidRPr="00C86BA5">
        <w:rPr>
          <w:rFonts w:ascii="標楷體" w:eastAsia="標楷體" w:hAnsi="標楷體" w:hint="eastAsia"/>
          <w:color w:val="000000" w:themeColor="text1"/>
        </w:rPr>
        <w:t>之期刊，得回溯五年內之任一年度資料。</w:t>
      </w:r>
    </w:p>
    <w:p w:rsidR="003C1012" w:rsidRPr="00C86BA5" w:rsidRDefault="003C1012" w:rsidP="00082B69">
      <w:pPr>
        <w:spacing w:afterLines="50" w:after="180"/>
        <w:ind w:leftChars="300" w:left="720"/>
        <w:rPr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該著作為單獨發表者，分數以其著作等級評分</w:t>
      </w:r>
      <w:r w:rsidRPr="00C86BA5">
        <w:rPr>
          <w:color w:val="000000" w:themeColor="text1"/>
        </w:rPr>
        <w:t>100%</w:t>
      </w:r>
      <w:r w:rsidRPr="00C86BA5">
        <w:rPr>
          <w:rFonts w:ascii="標楷體" w:eastAsia="標楷體" w:hAnsi="標楷體" w:hint="eastAsia"/>
          <w:color w:val="000000" w:themeColor="text1"/>
        </w:rPr>
        <w:t>計算之；兩人合著者，第一作者分數以等級分數之</w:t>
      </w:r>
      <w:r w:rsidRPr="00C86BA5">
        <w:rPr>
          <w:color w:val="000000" w:themeColor="text1"/>
        </w:rPr>
        <w:t xml:space="preserve"> 2/3</w:t>
      </w:r>
      <w:r w:rsidRPr="00C86BA5">
        <w:rPr>
          <w:rFonts w:ascii="標楷體" w:eastAsia="標楷體" w:hAnsi="標楷體" w:hint="eastAsia"/>
          <w:color w:val="000000" w:themeColor="text1"/>
        </w:rPr>
        <w:t>計算</w:t>
      </w:r>
      <w:r w:rsidRPr="00C86BA5">
        <w:rPr>
          <w:color w:val="000000" w:themeColor="text1"/>
        </w:rPr>
        <w:t>(</w:t>
      </w:r>
      <w:r w:rsidRPr="00C86BA5">
        <w:rPr>
          <w:rFonts w:ascii="標楷體" w:eastAsia="標楷體" w:hAnsi="標楷體" w:hint="eastAsia"/>
          <w:color w:val="000000" w:themeColor="text1"/>
        </w:rPr>
        <w:t>通訊作者等同第一作者</w:t>
      </w:r>
      <w:r w:rsidRPr="00C86BA5">
        <w:rPr>
          <w:color w:val="000000" w:themeColor="text1"/>
        </w:rPr>
        <w:t>)</w:t>
      </w:r>
      <w:r w:rsidRPr="00C86BA5">
        <w:rPr>
          <w:rFonts w:ascii="標楷體" w:eastAsia="標楷體" w:hAnsi="標楷體" w:hint="eastAsia"/>
          <w:color w:val="000000" w:themeColor="text1"/>
        </w:rPr>
        <w:t>，第二作者則以</w:t>
      </w:r>
      <w:r w:rsidRPr="00C86BA5">
        <w:rPr>
          <w:color w:val="000000" w:themeColor="text1"/>
        </w:rPr>
        <w:t>1/3</w:t>
      </w:r>
      <w:r w:rsidRPr="00C86BA5">
        <w:rPr>
          <w:rFonts w:ascii="標楷體" w:eastAsia="標楷體" w:hAnsi="標楷體" w:hint="eastAsia"/>
          <w:color w:val="000000" w:themeColor="text1"/>
        </w:rPr>
        <w:t>計算；多人合著者，第一作者以</w:t>
      </w:r>
      <w:r w:rsidRPr="00C86BA5">
        <w:rPr>
          <w:color w:val="000000" w:themeColor="text1"/>
        </w:rPr>
        <w:t xml:space="preserve"> 1/2</w:t>
      </w:r>
      <w:r w:rsidRPr="00C86BA5">
        <w:rPr>
          <w:rFonts w:ascii="標楷體" w:eastAsia="標楷體" w:hAnsi="標楷體" w:hint="eastAsia"/>
          <w:color w:val="000000" w:themeColor="text1"/>
        </w:rPr>
        <w:t>計算，第二及第</w:t>
      </w:r>
      <w:proofErr w:type="gramStart"/>
      <w:r w:rsidRPr="00C86BA5">
        <w:rPr>
          <w:rFonts w:ascii="標楷體" w:eastAsia="標楷體" w:hAnsi="標楷體" w:hint="eastAsia"/>
          <w:color w:val="000000" w:themeColor="text1"/>
        </w:rPr>
        <w:t>三</w:t>
      </w:r>
      <w:proofErr w:type="gramEnd"/>
      <w:r w:rsidRPr="00C86BA5">
        <w:rPr>
          <w:rFonts w:ascii="標楷體" w:eastAsia="標楷體" w:hAnsi="標楷體" w:hint="eastAsia"/>
          <w:color w:val="000000" w:themeColor="text1"/>
        </w:rPr>
        <w:t>作者分別以</w:t>
      </w:r>
      <w:r w:rsidRPr="00C86BA5">
        <w:rPr>
          <w:color w:val="000000" w:themeColor="text1"/>
        </w:rPr>
        <w:t>1/3</w:t>
      </w:r>
      <w:r w:rsidRPr="00C86BA5">
        <w:rPr>
          <w:rFonts w:ascii="標楷體" w:eastAsia="標楷體" w:hAnsi="標楷體" w:hint="eastAsia"/>
          <w:color w:val="000000" w:themeColor="text1"/>
        </w:rPr>
        <w:t>及</w:t>
      </w:r>
      <w:r w:rsidRPr="00C86BA5">
        <w:rPr>
          <w:color w:val="000000" w:themeColor="text1"/>
        </w:rPr>
        <w:t>1/6</w:t>
      </w:r>
      <w:r w:rsidRPr="00C86BA5">
        <w:rPr>
          <w:rFonts w:ascii="標楷體" w:eastAsia="標楷體" w:hAnsi="標楷體" w:hint="eastAsia"/>
          <w:color w:val="000000" w:themeColor="text1"/>
        </w:rPr>
        <w:t>計算之，第四作者</w:t>
      </w:r>
      <w:r w:rsidRPr="00C86BA5">
        <w:rPr>
          <w:color w:val="000000" w:themeColor="text1"/>
        </w:rPr>
        <w:t>(</w:t>
      </w:r>
      <w:r w:rsidRPr="00C86BA5">
        <w:rPr>
          <w:rFonts w:ascii="標楷體" w:eastAsia="標楷體" w:hAnsi="標楷體" w:hint="eastAsia"/>
          <w:color w:val="000000" w:themeColor="text1"/>
        </w:rPr>
        <w:t>含</w:t>
      </w:r>
      <w:r w:rsidRPr="00C86BA5">
        <w:rPr>
          <w:color w:val="000000" w:themeColor="text1"/>
        </w:rPr>
        <w:t>)</w:t>
      </w:r>
      <w:r w:rsidRPr="00C86BA5">
        <w:rPr>
          <w:rFonts w:ascii="標楷體" w:eastAsia="標楷體" w:hAnsi="標楷體" w:hint="eastAsia"/>
          <w:color w:val="000000" w:themeColor="text1"/>
        </w:rPr>
        <w:t>以下者均不予計</w:t>
      </w:r>
      <w:r w:rsidRPr="00C86BA5">
        <w:rPr>
          <w:rFonts w:ascii="標楷體" w:eastAsia="標楷體" w:hAnsi="標楷體" w:hint="eastAsia"/>
          <w:color w:val="000000" w:themeColor="text1"/>
        </w:rPr>
        <w:lastRenderedPageBreak/>
        <w:t>分</w:t>
      </w:r>
      <w:r w:rsidRPr="00C86BA5">
        <w:rPr>
          <w:color w:val="000000" w:themeColor="text1"/>
        </w:rPr>
        <w:t>(</w:t>
      </w:r>
      <w:r w:rsidRPr="00C86BA5">
        <w:rPr>
          <w:rFonts w:ascii="標楷體" w:eastAsia="標楷體" w:hAnsi="標楷體" w:hint="eastAsia"/>
          <w:color w:val="000000" w:themeColor="text1"/>
        </w:rPr>
        <w:t>分數以四捨五入</w:t>
      </w:r>
      <w:proofErr w:type="gramStart"/>
      <w:r w:rsidRPr="00C86BA5">
        <w:rPr>
          <w:rFonts w:ascii="標楷體" w:eastAsia="標楷體" w:hAnsi="標楷體" w:hint="eastAsia"/>
          <w:color w:val="000000" w:themeColor="text1"/>
        </w:rPr>
        <w:t>法取至</w:t>
      </w:r>
      <w:proofErr w:type="gramEnd"/>
      <w:r w:rsidRPr="00C86BA5">
        <w:rPr>
          <w:rFonts w:ascii="標楷體" w:eastAsia="標楷體" w:hAnsi="標楷體" w:hint="eastAsia"/>
          <w:color w:val="000000" w:themeColor="text1"/>
        </w:rPr>
        <w:t>整數位</w:t>
      </w:r>
      <w:r w:rsidRPr="00C86BA5">
        <w:rPr>
          <w:color w:val="000000" w:themeColor="text1"/>
        </w:rPr>
        <w:t>)</w:t>
      </w:r>
      <w:r w:rsidRPr="00C86BA5">
        <w:rPr>
          <w:rFonts w:ascii="標楷體" w:eastAsia="標楷體" w:hAnsi="標楷體" w:hint="eastAsia"/>
          <w:color w:val="000000" w:themeColor="text1"/>
        </w:rPr>
        <w:t>。</w:t>
      </w:r>
    </w:p>
    <w:p w:rsidR="003C1012" w:rsidRPr="00C86BA5" w:rsidRDefault="003C1012" w:rsidP="003C1012">
      <w:pPr>
        <w:ind w:left="1440" w:hanging="144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第六條 (實務升等著作評分標準)</w:t>
      </w:r>
    </w:p>
    <w:p w:rsidR="003C1012" w:rsidRPr="00C86BA5" w:rsidRDefault="003C1012" w:rsidP="00082B69">
      <w:pPr>
        <w:spacing w:afterLines="50" w:after="180"/>
        <w:ind w:leftChars="300" w:left="72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為鼓勵教師多元升等，本系教師如以技術報告、教學實務報告及產學實務報告為其代表著作申請升等者，教學實務報告之代表著作以30分計；其餘代表著作一律以25分計算。</w:t>
      </w:r>
    </w:p>
    <w:p w:rsidR="003C1012" w:rsidRPr="00C86BA5" w:rsidRDefault="003C1012" w:rsidP="00082B69">
      <w:pPr>
        <w:spacing w:afterLines="50" w:after="180"/>
        <w:ind w:leftChars="300" w:left="72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其餘專門著作之評分，參照本</w:t>
      </w:r>
      <w:r w:rsidR="00AC6038" w:rsidRPr="00C86BA5">
        <w:rPr>
          <w:rFonts w:ascii="標楷體" w:eastAsia="標楷體" w:hAnsi="標楷體" w:hint="eastAsia"/>
          <w:color w:val="000000" w:themeColor="text1"/>
        </w:rPr>
        <w:t>要點</w:t>
      </w:r>
      <w:r w:rsidRPr="00C86BA5">
        <w:rPr>
          <w:rFonts w:ascii="標楷體" w:eastAsia="標楷體" w:hAnsi="標楷體" w:hint="eastAsia"/>
          <w:color w:val="000000" w:themeColor="text1"/>
        </w:rPr>
        <w:t>第五條之評分標準。</w:t>
      </w:r>
    </w:p>
    <w:p w:rsidR="003C1012" w:rsidRPr="00C86BA5" w:rsidRDefault="003C1012" w:rsidP="003C1012">
      <w:pPr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第七條 (升等職級基準)</w:t>
      </w:r>
    </w:p>
    <w:p w:rsidR="003C1012" w:rsidRPr="00C86BA5" w:rsidRDefault="003C1012" w:rsidP="003C1012">
      <w:pPr>
        <w:ind w:leftChars="300" w:left="72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以學術或實務升等各職級者，包含代表著作在內，所有著作</w:t>
      </w:r>
      <w:proofErr w:type="gramStart"/>
      <w:r w:rsidRPr="00C86BA5">
        <w:rPr>
          <w:rFonts w:ascii="標楷體" w:eastAsia="標楷體" w:hAnsi="標楷體" w:hint="eastAsia"/>
          <w:color w:val="000000" w:themeColor="text1"/>
        </w:rPr>
        <w:t>總分須達</w:t>
      </w:r>
      <w:proofErr w:type="gramEnd"/>
      <w:r w:rsidRPr="00C86BA5">
        <w:rPr>
          <w:rFonts w:ascii="標楷體" w:eastAsia="標楷體" w:hAnsi="標楷體" w:hint="eastAsia"/>
          <w:color w:val="000000" w:themeColor="text1"/>
        </w:rPr>
        <w:t>以下各職級之升等基準，方可提出升等申請。</w:t>
      </w:r>
    </w:p>
    <w:p w:rsidR="003C1012" w:rsidRPr="00C86BA5" w:rsidRDefault="003C1012" w:rsidP="003C1012">
      <w:pPr>
        <w:ind w:leftChars="413" w:left="2191" w:hanging="1200"/>
        <w:jc w:val="both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一、升等教授者，所有著作</w:t>
      </w:r>
      <w:proofErr w:type="gramStart"/>
      <w:r w:rsidRPr="00C86BA5">
        <w:rPr>
          <w:rFonts w:ascii="標楷體" w:eastAsia="標楷體" w:hAnsi="標楷體" w:hint="eastAsia"/>
          <w:color w:val="000000" w:themeColor="text1"/>
        </w:rPr>
        <w:t>總分應達</w:t>
      </w:r>
      <w:proofErr w:type="gramEnd"/>
      <w:r w:rsidRPr="00C86BA5">
        <w:rPr>
          <w:rFonts w:ascii="標楷體" w:eastAsia="標楷體" w:hAnsi="標楷體" w:hint="eastAsia"/>
          <w:color w:val="000000" w:themeColor="text1"/>
        </w:rPr>
        <w:t>75分以上。</w:t>
      </w:r>
    </w:p>
    <w:p w:rsidR="003C1012" w:rsidRPr="00C86BA5" w:rsidRDefault="003C1012" w:rsidP="003C1012">
      <w:pPr>
        <w:ind w:leftChars="413" w:left="2191" w:hanging="1200"/>
        <w:jc w:val="both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二、升等副教授者，所有著作</w:t>
      </w:r>
      <w:proofErr w:type="gramStart"/>
      <w:r w:rsidRPr="00C86BA5">
        <w:rPr>
          <w:rFonts w:ascii="標楷體" w:eastAsia="標楷體" w:hAnsi="標楷體" w:hint="eastAsia"/>
          <w:color w:val="000000" w:themeColor="text1"/>
        </w:rPr>
        <w:t>總分應達</w:t>
      </w:r>
      <w:proofErr w:type="gramEnd"/>
      <w:r w:rsidRPr="00C86BA5">
        <w:rPr>
          <w:rFonts w:ascii="標楷體" w:eastAsia="標楷體" w:hAnsi="標楷體" w:hint="eastAsia"/>
          <w:color w:val="000000" w:themeColor="text1"/>
        </w:rPr>
        <w:t>65分以上。</w:t>
      </w:r>
    </w:p>
    <w:p w:rsidR="003C1012" w:rsidRPr="00C86BA5" w:rsidRDefault="003C1012" w:rsidP="00082B69">
      <w:pPr>
        <w:spacing w:afterLines="50" w:after="180"/>
        <w:ind w:leftChars="413" w:left="2191" w:hanging="120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三、升等助理教授者，所有著作</w:t>
      </w:r>
      <w:proofErr w:type="gramStart"/>
      <w:r w:rsidRPr="00C86BA5">
        <w:rPr>
          <w:rFonts w:ascii="標楷體" w:eastAsia="標楷體" w:hAnsi="標楷體" w:hint="eastAsia"/>
          <w:color w:val="000000" w:themeColor="text1"/>
        </w:rPr>
        <w:t>總分應達</w:t>
      </w:r>
      <w:proofErr w:type="gramEnd"/>
      <w:r w:rsidRPr="00C86BA5">
        <w:rPr>
          <w:rFonts w:ascii="標楷體" w:eastAsia="標楷體" w:hAnsi="標楷體" w:hint="eastAsia"/>
          <w:color w:val="000000" w:themeColor="text1"/>
        </w:rPr>
        <w:t>60分以上。</w:t>
      </w:r>
    </w:p>
    <w:p w:rsidR="003C1012" w:rsidRPr="00C86BA5" w:rsidRDefault="003C1012" w:rsidP="00082B69">
      <w:pPr>
        <w:spacing w:afterLines="50" w:after="180"/>
        <w:ind w:left="1440" w:hanging="144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第八條 (送審規定)</w:t>
      </w:r>
    </w:p>
    <w:p w:rsidR="003C1012" w:rsidRPr="00C86BA5" w:rsidRDefault="003C1012" w:rsidP="00082B69">
      <w:pPr>
        <w:spacing w:afterLines="50" w:after="180"/>
        <w:ind w:leftChars="300" w:left="72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送審時須依本校教師升等辦法第六條之規定辦理外，如本次送審代表著作與前次送審代表著作內容近似者，送審時應檢附前次送審代表著作與本次著作異同對照。</w:t>
      </w:r>
    </w:p>
    <w:p w:rsidR="003C1012" w:rsidRPr="00C86BA5" w:rsidRDefault="003C1012" w:rsidP="003C1012">
      <w:pPr>
        <w:ind w:left="1441" w:hanging="1441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第九條 (著作與專業領域之關聯)</w:t>
      </w:r>
    </w:p>
    <w:p w:rsidR="003C1012" w:rsidRPr="00C86BA5" w:rsidRDefault="003C1012" w:rsidP="00082B69">
      <w:pPr>
        <w:spacing w:afterLines="50" w:after="180"/>
        <w:ind w:leftChars="300" w:left="72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申請人送審之學術論文應與其專業領域或任教科目有關，並經各級教師評審委員會審議，發現無關聯者得</w:t>
      </w:r>
      <w:proofErr w:type="gramStart"/>
      <w:r w:rsidRPr="00C86BA5">
        <w:rPr>
          <w:rFonts w:ascii="標楷體" w:eastAsia="標楷體" w:hAnsi="標楷體" w:hint="eastAsia"/>
          <w:color w:val="000000" w:themeColor="text1"/>
        </w:rPr>
        <w:t>予退</w:t>
      </w:r>
      <w:proofErr w:type="gramEnd"/>
      <w:r w:rsidRPr="00C86BA5">
        <w:rPr>
          <w:rFonts w:ascii="標楷體" w:eastAsia="標楷體" w:hAnsi="標楷體" w:hint="eastAsia"/>
          <w:color w:val="000000" w:themeColor="text1"/>
        </w:rPr>
        <w:t>回。</w:t>
      </w:r>
    </w:p>
    <w:p w:rsidR="003C1012" w:rsidRPr="00C86BA5" w:rsidRDefault="003C1012" w:rsidP="003C1012">
      <w:pPr>
        <w:ind w:left="1440" w:hanging="144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第十條 (未盡事宜)</w:t>
      </w:r>
    </w:p>
    <w:p w:rsidR="003C1012" w:rsidRPr="00C86BA5" w:rsidRDefault="003C1012" w:rsidP="00082B69">
      <w:pPr>
        <w:spacing w:afterLines="50" w:after="180"/>
        <w:ind w:leftChars="300" w:left="72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本</w:t>
      </w:r>
      <w:r w:rsidR="009864C8" w:rsidRPr="00C86BA5">
        <w:rPr>
          <w:rFonts w:ascii="標楷體" w:eastAsia="標楷體" w:hAnsi="標楷體" w:hint="eastAsia"/>
          <w:color w:val="000000" w:themeColor="text1"/>
        </w:rPr>
        <w:t>要點</w:t>
      </w:r>
      <w:r w:rsidRPr="00C86BA5">
        <w:rPr>
          <w:rFonts w:ascii="標楷體" w:eastAsia="標楷體" w:hAnsi="標楷體" w:hint="eastAsia"/>
          <w:color w:val="000000" w:themeColor="text1"/>
        </w:rPr>
        <w:t>未訂事項，悉依本校教師升等辦法辦理之。</w:t>
      </w:r>
    </w:p>
    <w:p w:rsidR="003C1012" w:rsidRPr="00C86BA5" w:rsidRDefault="003C1012" w:rsidP="003C1012">
      <w:pPr>
        <w:ind w:left="1440" w:hanging="144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第十一條 (實施與修正)</w:t>
      </w:r>
    </w:p>
    <w:p w:rsidR="003C1012" w:rsidRPr="00C86BA5" w:rsidRDefault="003C1012" w:rsidP="00082B69">
      <w:pPr>
        <w:spacing w:afterLines="50" w:after="180"/>
        <w:ind w:leftChars="300" w:left="720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本</w:t>
      </w:r>
      <w:r w:rsidR="009864C8" w:rsidRPr="00C86BA5">
        <w:rPr>
          <w:rFonts w:ascii="標楷體" w:eastAsia="標楷體" w:hAnsi="標楷體" w:hint="eastAsia"/>
          <w:color w:val="000000" w:themeColor="text1"/>
        </w:rPr>
        <w:t>要點</w:t>
      </w:r>
      <w:r w:rsidRPr="00C86BA5">
        <w:rPr>
          <w:rFonts w:ascii="標楷體" w:eastAsia="標楷體" w:hAnsi="標楷體" w:hint="eastAsia"/>
          <w:color w:val="000000" w:themeColor="text1"/>
        </w:rPr>
        <w:t>經本</w:t>
      </w:r>
      <w:r w:rsidR="00CF4669" w:rsidRPr="00C86BA5">
        <w:rPr>
          <w:rFonts w:ascii="標楷體" w:eastAsia="標楷體" w:hAnsi="標楷體" w:hint="eastAsia"/>
          <w:color w:val="000000" w:themeColor="text1"/>
        </w:rPr>
        <w:t>學程</w:t>
      </w:r>
      <w:r w:rsidRPr="00C86BA5">
        <w:rPr>
          <w:rFonts w:ascii="標楷體" w:eastAsia="標楷體" w:hAnsi="標楷體" w:hint="eastAsia"/>
          <w:color w:val="000000" w:themeColor="text1"/>
        </w:rPr>
        <w:t>教師評審委員會通過，並經院級及校級教師評審委員會通過後公布施行。</w:t>
      </w:r>
    </w:p>
    <w:p w:rsidR="006E5D7B" w:rsidRPr="00C86BA5" w:rsidRDefault="006E5D7B">
      <w:pPr>
        <w:widowControl/>
        <w:rPr>
          <w:rFonts w:ascii="標楷體" w:eastAsia="標楷體" w:hAnsi="標楷體" w:cs="Arial"/>
          <w:color w:val="000000" w:themeColor="text1"/>
          <w:sz w:val="20"/>
        </w:rPr>
      </w:pPr>
      <w:r w:rsidRPr="00C86BA5">
        <w:rPr>
          <w:rFonts w:ascii="標楷體" w:hAnsi="標楷體"/>
          <w:color w:val="000000" w:themeColor="text1"/>
        </w:rPr>
        <w:br w:type="page"/>
      </w:r>
    </w:p>
    <w:p w:rsidR="006E5D7B" w:rsidRPr="00C86BA5" w:rsidRDefault="006E5D7B" w:rsidP="006E5D7B">
      <w:pPr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/>
          <w:color w:val="000000" w:themeColor="text1"/>
        </w:rPr>
        <w:lastRenderedPageBreak/>
        <w:t>附件</w:t>
      </w:r>
      <w:r w:rsidRPr="00C86BA5">
        <w:rPr>
          <w:rFonts w:ascii="標楷體" w:eastAsia="標楷體" w:hAnsi="標楷體" w:hint="eastAsia"/>
          <w:color w:val="000000" w:themeColor="text1"/>
        </w:rPr>
        <w:t>一</w:t>
      </w:r>
      <w:r w:rsidRPr="00C86BA5">
        <w:rPr>
          <w:rFonts w:ascii="標楷體" w:eastAsia="標楷體" w:hAnsi="標楷體"/>
          <w:color w:val="000000" w:themeColor="text1"/>
        </w:rPr>
        <w:t>：</w:t>
      </w:r>
      <w:r w:rsidRPr="00C86BA5">
        <w:rPr>
          <w:rFonts w:ascii="標楷體" w:eastAsia="標楷體" w:hAnsi="標楷體" w:hint="eastAsia"/>
          <w:color w:val="000000" w:themeColor="text1"/>
        </w:rPr>
        <w:t>教師升等研究自評表</w:t>
      </w:r>
    </w:p>
    <w:p w:rsidR="006E5D7B" w:rsidRPr="00C86BA5" w:rsidRDefault="006E5D7B" w:rsidP="006E5D7B">
      <w:pPr>
        <w:rPr>
          <w:rFonts w:ascii="標楷體" w:eastAsia="標楷體" w:hAnsi="標楷體"/>
          <w:color w:val="000000" w:themeColor="text1"/>
        </w:rPr>
      </w:pPr>
    </w:p>
    <w:p w:rsidR="006E5D7B" w:rsidRPr="00C86BA5" w:rsidRDefault="006E5D7B" w:rsidP="006E5D7B">
      <w:pPr>
        <w:jc w:val="center"/>
        <w:rPr>
          <w:rFonts w:ascii="標楷體" w:eastAsia="標楷體" w:hAnsi="標楷體"/>
          <w:color w:val="000000" w:themeColor="text1"/>
        </w:rPr>
      </w:pPr>
      <w:r w:rsidRPr="00C86BA5">
        <w:rPr>
          <w:rFonts w:ascii="標楷體" w:eastAsia="標楷體" w:hAnsi="標楷體" w:hint="eastAsia"/>
          <w:color w:val="000000" w:themeColor="text1"/>
        </w:rPr>
        <w:t>德明財經科技大學不動產投資與經營學位學程教師升等研究自評表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900"/>
        <w:gridCol w:w="1071"/>
        <w:gridCol w:w="729"/>
        <w:gridCol w:w="919"/>
      </w:tblGrid>
      <w:tr w:rsidR="00C86BA5" w:rsidRPr="00C86BA5" w:rsidTr="006E5D7B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  <w:r w:rsidRPr="00C86BA5">
              <w:rPr>
                <w:rFonts w:eastAsia="標楷體" w:hint="eastAsia"/>
                <w:color w:val="000000" w:themeColor="text1"/>
              </w:rPr>
              <w:t>代表著作或研究著作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7B" w:rsidRPr="00C86BA5" w:rsidRDefault="006E5D7B">
            <w:pPr>
              <w:jc w:val="center"/>
              <w:rPr>
                <w:rFonts w:eastAsia="標楷體"/>
                <w:color w:val="000000" w:themeColor="text1"/>
              </w:rPr>
            </w:pPr>
            <w:r w:rsidRPr="00C86BA5">
              <w:rPr>
                <w:rFonts w:eastAsia="標楷體" w:hint="eastAsia"/>
                <w:color w:val="000000" w:themeColor="text1"/>
              </w:rPr>
              <w:t>發表刊物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7B" w:rsidRPr="00C86BA5" w:rsidRDefault="006E5D7B">
            <w:pPr>
              <w:jc w:val="center"/>
              <w:rPr>
                <w:rFonts w:eastAsia="標楷體"/>
                <w:color w:val="000000" w:themeColor="text1"/>
              </w:rPr>
            </w:pPr>
            <w:r w:rsidRPr="00C86BA5">
              <w:rPr>
                <w:rFonts w:eastAsia="標楷體" w:hint="eastAsia"/>
                <w:color w:val="000000" w:themeColor="text1"/>
              </w:rPr>
              <w:t>發表年份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7B" w:rsidRPr="00C86BA5" w:rsidRDefault="006E5D7B">
            <w:pPr>
              <w:ind w:leftChars="-12" w:left="-29" w:rightChars="-45" w:right="-108"/>
              <w:jc w:val="center"/>
              <w:rPr>
                <w:rFonts w:eastAsia="標楷體"/>
                <w:color w:val="000000" w:themeColor="text1"/>
              </w:rPr>
            </w:pPr>
            <w:r w:rsidRPr="00C86BA5">
              <w:rPr>
                <w:rFonts w:eastAsia="標楷體" w:hint="eastAsia"/>
                <w:color w:val="000000" w:themeColor="text1"/>
              </w:rPr>
              <w:t>所屬性質或級別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7B" w:rsidRPr="00C86BA5" w:rsidRDefault="006E5D7B">
            <w:pPr>
              <w:jc w:val="center"/>
              <w:rPr>
                <w:rFonts w:eastAsia="標楷體"/>
                <w:color w:val="000000" w:themeColor="text1"/>
              </w:rPr>
            </w:pPr>
            <w:r w:rsidRPr="00C86BA5">
              <w:rPr>
                <w:rFonts w:eastAsia="標楷體" w:hint="eastAsia"/>
                <w:color w:val="000000" w:themeColor="text1"/>
              </w:rPr>
              <w:t>著作人數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7B" w:rsidRPr="00C86BA5" w:rsidRDefault="006E5D7B">
            <w:pPr>
              <w:jc w:val="center"/>
              <w:rPr>
                <w:rFonts w:eastAsia="標楷體"/>
                <w:color w:val="000000" w:themeColor="text1"/>
              </w:rPr>
            </w:pPr>
            <w:r w:rsidRPr="00C86BA5">
              <w:rPr>
                <w:rFonts w:eastAsia="標楷體" w:hint="eastAsia"/>
                <w:color w:val="000000" w:themeColor="text1"/>
              </w:rPr>
              <w:t>得分</w:t>
            </w:r>
          </w:p>
        </w:tc>
      </w:tr>
      <w:tr w:rsidR="00C86BA5" w:rsidRPr="00C86BA5" w:rsidTr="006E5D7B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</w:tr>
      <w:tr w:rsidR="00C86BA5" w:rsidRPr="00C86BA5" w:rsidTr="006E5D7B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</w:tr>
      <w:tr w:rsidR="00C86BA5" w:rsidRPr="00C86BA5" w:rsidTr="006E5D7B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</w:tr>
      <w:tr w:rsidR="00C86BA5" w:rsidRPr="00C86BA5" w:rsidTr="006E5D7B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</w:tr>
      <w:tr w:rsidR="00C86BA5" w:rsidRPr="00C86BA5" w:rsidTr="006E5D7B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</w:tr>
      <w:tr w:rsidR="00C86BA5" w:rsidRPr="00C86BA5" w:rsidTr="006E5D7B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</w:tr>
      <w:tr w:rsidR="00C86BA5" w:rsidRPr="00C86BA5" w:rsidTr="006E5D7B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</w:tr>
      <w:tr w:rsidR="006E5D7B" w:rsidRPr="00C86BA5" w:rsidTr="006E5D7B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  <w:r w:rsidRPr="00C86BA5">
              <w:rPr>
                <w:rFonts w:eastAsia="標楷體" w:hint="eastAsia"/>
                <w:color w:val="000000" w:themeColor="text1"/>
              </w:rPr>
              <w:t>申請人簽名</w:t>
            </w:r>
            <w:r w:rsidRPr="00C86BA5">
              <w:rPr>
                <w:rFonts w:eastAsia="標楷體"/>
                <w:color w:val="000000" w:themeColor="text1"/>
              </w:rPr>
              <w:t>/</w:t>
            </w:r>
            <w:r w:rsidRPr="00C86BA5">
              <w:rPr>
                <w:rFonts w:eastAsia="標楷體" w:hint="eastAsia"/>
                <w:color w:val="000000" w:themeColor="text1"/>
              </w:rPr>
              <w:t>日期：</w:t>
            </w:r>
          </w:p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  <w:r w:rsidRPr="00C86BA5">
              <w:rPr>
                <w:rFonts w:eastAsia="標楷體"/>
                <w:color w:val="000000" w:themeColor="text1"/>
              </w:rPr>
              <w:t>C</w:t>
            </w:r>
            <w:r w:rsidRPr="00C86BA5">
              <w:rPr>
                <w:rFonts w:eastAsia="標楷體" w:hint="eastAsia"/>
                <w:color w:val="000000" w:themeColor="text1"/>
              </w:rPr>
              <w:t>級以上著作總分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  <w:r w:rsidRPr="00C86BA5">
              <w:rPr>
                <w:rFonts w:eastAsia="標楷體" w:hint="eastAsia"/>
                <w:color w:val="000000" w:themeColor="text1"/>
              </w:rPr>
              <w:t>所有著作總分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B" w:rsidRPr="00C86BA5" w:rsidRDefault="006E5D7B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6E5D7B" w:rsidRPr="00C86BA5" w:rsidRDefault="006E5D7B" w:rsidP="006E5D7B">
      <w:pPr>
        <w:rPr>
          <w:rFonts w:eastAsia="標楷體"/>
          <w:color w:val="000000" w:themeColor="text1"/>
        </w:rPr>
      </w:pPr>
    </w:p>
    <w:p w:rsidR="00615F0F" w:rsidRPr="00C86BA5" w:rsidRDefault="00615F0F" w:rsidP="003C1012">
      <w:pPr>
        <w:pStyle w:val="a4"/>
        <w:rPr>
          <w:rFonts w:ascii="標楷體" w:hAnsi="標楷體"/>
          <w:color w:val="000000" w:themeColor="text1"/>
        </w:rPr>
      </w:pPr>
    </w:p>
    <w:sectPr w:rsidR="00615F0F" w:rsidRPr="00C86BA5" w:rsidSect="00EB752F">
      <w:footerReference w:type="even" r:id="rId8"/>
      <w:footerReference w:type="default" r:id="rId9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F2" w:rsidRDefault="003514F2">
      <w:r>
        <w:separator/>
      </w:r>
    </w:p>
  </w:endnote>
  <w:endnote w:type="continuationSeparator" w:id="0">
    <w:p w:rsidR="003514F2" w:rsidRDefault="0035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67" w:rsidRDefault="009F13BD" w:rsidP="0044216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4216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2167" w:rsidRDefault="00442167" w:rsidP="0044216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0B" w:rsidRDefault="006E5D7B">
    <w:pPr>
      <w:pStyle w:val="ab"/>
      <w:jc w:val="center"/>
    </w:pPr>
    <w:r>
      <w:rPr>
        <w:rFonts w:hint="eastAsia"/>
      </w:rPr>
      <w:t>不動產學位學程</w:t>
    </w:r>
    <w:r w:rsidR="00FC050B">
      <w:rPr>
        <w:rFonts w:hint="eastAsia"/>
      </w:rPr>
      <w:t>-</w:t>
    </w:r>
    <w:r w:rsidR="0048672C">
      <w:fldChar w:fldCharType="begin"/>
    </w:r>
    <w:r w:rsidR="0048672C">
      <w:instrText xml:space="preserve"> PAGE   \* MERGEFORMAT </w:instrText>
    </w:r>
    <w:r w:rsidR="0048672C">
      <w:fldChar w:fldCharType="separate"/>
    </w:r>
    <w:r w:rsidR="00556B6B" w:rsidRPr="00556B6B">
      <w:rPr>
        <w:noProof/>
        <w:lang w:val="zh-TW"/>
      </w:rPr>
      <w:t>1</w:t>
    </w:r>
    <w:r w:rsidR="0048672C">
      <w:rPr>
        <w:noProof/>
        <w:lang w:val="zh-TW"/>
      </w:rPr>
      <w:fldChar w:fldCharType="end"/>
    </w:r>
  </w:p>
  <w:p w:rsidR="00442167" w:rsidRDefault="00442167" w:rsidP="0044216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F2" w:rsidRDefault="003514F2">
      <w:r>
        <w:separator/>
      </w:r>
    </w:p>
  </w:footnote>
  <w:footnote w:type="continuationSeparator" w:id="0">
    <w:p w:rsidR="003514F2" w:rsidRDefault="0035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6756"/>
    <w:multiLevelType w:val="hybridMultilevel"/>
    <w:tmpl w:val="641CFCAA"/>
    <w:lvl w:ilvl="0" w:tplc="E0EE987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1393119"/>
    <w:multiLevelType w:val="hybridMultilevel"/>
    <w:tmpl w:val="64D49852"/>
    <w:lvl w:ilvl="0" w:tplc="F7CE1AA6">
      <w:start w:val="1"/>
      <w:numFmt w:val="taiwaneseCountingThousand"/>
      <w:lvlText w:val="第%1條"/>
      <w:lvlJc w:val="left"/>
      <w:pPr>
        <w:tabs>
          <w:tab w:val="num" w:pos="1408"/>
        </w:tabs>
        <w:ind w:left="1408" w:hanging="84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673"/>
    <w:rsid w:val="00000B11"/>
    <w:rsid w:val="00001D74"/>
    <w:rsid w:val="00001E81"/>
    <w:rsid w:val="00010CAF"/>
    <w:rsid w:val="00012A8B"/>
    <w:rsid w:val="00022353"/>
    <w:rsid w:val="00032F70"/>
    <w:rsid w:val="0003448E"/>
    <w:rsid w:val="00036903"/>
    <w:rsid w:val="00040A37"/>
    <w:rsid w:val="000451F1"/>
    <w:rsid w:val="0004607F"/>
    <w:rsid w:val="00047AEC"/>
    <w:rsid w:val="000531B2"/>
    <w:rsid w:val="0006252D"/>
    <w:rsid w:val="00067920"/>
    <w:rsid w:val="00072942"/>
    <w:rsid w:val="000820DF"/>
    <w:rsid w:val="00082B69"/>
    <w:rsid w:val="0008548A"/>
    <w:rsid w:val="000A1047"/>
    <w:rsid w:val="000B0A11"/>
    <w:rsid w:val="000B0D56"/>
    <w:rsid w:val="000B3791"/>
    <w:rsid w:val="000B3D5F"/>
    <w:rsid w:val="000B4ECF"/>
    <w:rsid w:val="000C1592"/>
    <w:rsid w:val="000C59DC"/>
    <w:rsid w:val="000D0E36"/>
    <w:rsid w:val="000D207E"/>
    <w:rsid w:val="000E15B4"/>
    <w:rsid w:val="000E164E"/>
    <w:rsid w:val="000F166B"/>
    <w:rsid w:val="000F24C5"/>
    <w:rsid w:val="000F2715"/>
    <w:rsid w:val="00100F0A"/>
    <w:rsid w:val="00106C5F"/>
    <w:rsid w:val="001110F1"/>
    <w:rsid w:val="00111F5D"/>
    <w:rsid w:val="00111FFB"/>
    <w:rsid w:val="0011653D"/>
    <w:rsid w:val="001177DB"/>
    <w:rsid w:val="001257B6"/>
    <w:rsid w:val="0012690B"/>
    <w:rsid w:val="001409F8"/>
    <w:rsid w:val="001454E7"/>
    <w:rsid w:val="0015016A"/>
    <w:rsid w:val="00151B01"/>
    <w:rsid w:val="001634CA"/>
    <w:rsid w:val="001670C5"/>
    <w:rsid w:val="0016759D"/>
    <w:rsid w:val="001729EF"/>
    <w:rsid w:val="001864FB"/>
    <w:rsid w:val="001868A3"/>
    <w:rsid w:val="001968CF"/>
    <w:rsid w:val="001A20B3"/>
    <w:rsid w:val="001A31D1"/>
    <w:rsid w:val="001A3F30"/>
    <w:rsid w:val="001A4019"/>
    <w:rsid w:val="001B4673"/>
    <w:rsid w:val="001B4B03"/>
    <w:rsid w:val="001B661A"/>
    <w:rsid w:val="001C1B90"/>
    <w:rsid w:val="001C1DF0"/>
    <w:rsid w:val="001D4AF7"/>
    <w:rsid w:val="001D5DD0"/>
    <w:rsid w:val="001E37CC"/>
    <w:rsid w:val="001F172C"/>
    <w:rsid w:val="001F5307"/>
    <w:rsid w:val="001F5852"/>
    <w:rsid w:val="00200417"/>
    <w:rsid w:val="00200DD2"/>
    <w:rsid w:val="002018CA"/>
    <w:rsid w:val="0020230D"/>
    <w:rsid w:val="002073C1"/>
    <w:rsid w:val="00207BE7"/>
    <w:rsid w:val="00214C6A"/>
    <w:rsid w:val="00217D9C"/>
    <w:rsid w:val="002222EA"/>
    <w:rsid w:val="00224662"/>
    <w:rsid w:val="00230E1E"/>
    <w:rsid w:val="00236701"/>
    <w:rsid w:val="00240082"/>
    <w:rsid w:val="002403CD"/>
    <w:rsid w:val="00246672"/>
    <w:rsid w:val="0025447D"/>
    <w:rsid w:val="0026051C"/>
    <w:rsid w:val="0027140E"/>
    <w:rsid w:val="00276A62"/>
    <w:rsid w:val="002823F1"/>
    <w:rsid w:val="002844FC"/>
    <w:rsid w:val="00295ABD"/>
    <w:rsid w:val="002A3461"/>
    <w:rsid w:val="002B546A"/>
    <w:rsid w:val="002D19F7"/>
    <w:rsid w:val="002D449D"/>
    <w:rsid w:val="002E3A0B"/>
    <w:rsid w:val="002E6D29"/>
    <w:rsid w:val="002E7895"/>
    <w:rsid w:val="002F2776"/>
    <w:rsid w:val="002F2A90"/>
    <w:rsid w:val="003034C3"/>
    <w:rsid w:val="00306234"/>
    <w:rsid w:val="0030635A"/>
    <w:rsid w:val="003117F9"/>
    <w:rsid w:val="00313CFB"/>
    <w:rsid w:val="00316D37"/>
    <w:rsid w:val="0032337E"/>
    <w:rsid w:val="00326B93"/>
    <w:rsid w:val="00330220"/>
    <w:rsid w:val="00331865"/>
    <w:rsid w:val="00331FFD"/>
    <w:rsid w:val="00340252"/>
    <w:rsid w:val="00341243"/>
    <w:rsid w:val="003512EA"/>
    <w:rsid w:val="003514F2"/>
    <w:rsid w:val="00353C38"/>
    <w:rsid w:val="003545E5"/>
    <w:rsid w:val="00355084"/>
    <w:rsid w:val="003605D4"/>
    <w:rsid w:val="00370DD0"/>
    <w:rsid w:val="003734D4"/>
    <w:rsid w:val="003749F4"/>
    <w:rsid w:val="00380232"/>
    <w:rsid w:val="00380CA3"/>
    <w:rsid w:val="00386C2B"/>
    <w:rsid w:val="003A2EC8"/>
    <w:rsid w:val="003A3ABE"/>
    <w:rsid w:val="003A615D"/>
    <w:rsid w:val="003A66DB"/>
    <w:rsid w:val="003B7892"/>
    <w:rsid w:val="003C1012"/>
    <w:rsid w:val="003C3AD3"/>
    <w:rsid w:val="003C7D3B"/>
    <w:rsid w:val="003D5A9B"/>
    <w:rsid w:val="003D5BD8"/>
    <w:rsid w:val="003E1ED9"/>
    <w:rsid w:val="003E407D"/>
    <w:rsid w:val="003E71EA"/>
    <w:rsid w:val="003F4D36"/>
    <w:rsid w:val="00400F42"/>
    <w:rsid w:val="00403356"/>
    <w:rsid w:val="004042DA"/>
    <w:rsid w:val="004063CB"/>
    <w:rsid w:val="0041288C"/>
    <w:rsid w:val="00413E65"/>
    <w:rsid w:val="0041560C"/>
    <w:rsid w:val="0041604D"/>
    <w:rsid w:val="00425574"/>
    <w:rsid w:val="00427956"/>
    <w:rsid w:val="004379B4"/>
    <w:rsid w:val="00440BEF"/>
    <w:rsid w:val="00442167"/>
    <w:rsid w:val="00443167"/>
    <w:rsid w:val="0044388E"/>
    <w:rsid w:val="00444973"/>
    <w:rsid w:val="00445F92"/>
    <w:rsid w:val="004645AA"/>
    <w:rsid w:val="004659AB"/>
    <w:rsid w:val="004730A0"/>
    <w:rsid w:val="004774D2"/>
    <w:rsid w:val="00481896"/>
    <w:rsid w:val="0048616A"/>
    <w:rsid w:val="004865E1"/>
    <w:rsid w:val="0048672C"/>
    <w:rsid w:val="00487EFD"/>
    <w:rsid w:val="0049033E"/>
    <w:rsid w:val="004918B5"/>
    <w:rsid w:val="004970E6"/>
    <w:rsid w:val="004A7572"/>
    <w:rsid w:val="004B73BC"/>
    <w:rsid w:val="004C2725"/>
    <w:rsid w:val="004C301E"/>
    <w:rsid w:val="004C77D5"/>
    <w:rsid w:val="004D058E"/>
    <w:rsid w:val="004D0ED7"/>
    <w:rsid w:val="004D372D"/>
    <w:rsid w:val="004D45AE"/>
    <w:rsid w:val="004D6C4B"/>
    <w:rsid w:val="004D7731"/>
    <w:rsid w:val="004F15AE"/>
    <w:rsid w:val="00503B48"/>
    <w:rsid w:val="005069A0"/>
    <w:rsid w:val="005211F0"/>
    <w:rsid w:val="00524D4B"/>
    <w:rsid w:val="00531FBF"/>
    <w:rsid w:val="00533174"/>
    <w:rsid w:val="005352B1"/>
    <w:rsid w:val="00535467"/>
    <w:rsid w:val="0054101B"/>
    <w:rsid w:val="005547C9"/>
    <w:rsid w:val="00556B6B"/>
    <w:rsid w:val="005577D0"/>
    <w:rsid w:val="0056362B"/>
    <w:rsid w:val="0056476D"/>
    <w:rsid w:val="005650AE"/>
    <w:rsid w:val="00571014"/>
    <w:rsid w:val="005716A5"/>
    <w:rsid w:val="00574E89"/>
    <w:rsid w:val="0058465E"/>
    <w:rsid w:val="0058798E"/>
    <w:rsid w:val="00590A81"/>
    <w:rsid w:val="00593797"/>
    <w:rsid w:val="005C4229"/>
    <w:rsid w:val="005C5A45"/>
    <w:rsid w:val="005C769D"/>
    <w:rsid w:val="005D283C"/>
    <w:rsid w:val="005D3587"/>
    <w:rsid w:val="005D75FB"/>
    <w:rsid w:val="005E2963"/>
    <w:rsid w:val="00615F0F"/>
    <w:rsid w:val="00620ED0"/>
    <w:rsid w:val="0062169A"/>
    <w:rsid w:val="006227EB"/>
    <w:rsid w:val="00624027"/>
    <w:rsid w:val="00630986"/>
    <w:rsid w:val="0064019F"/>
    <w:rsid w:val="0064443F"/>
    <w:rsid w:val="00647D39"/>
    <w:rsid w:val="00656085"/>
    <w:rsid w:val="00663D05"/>
    <w:rsid w:val="00665495"/>
    <w:rsid w:val="00672194"/>
    <w:rsid w:val="00673B57"/>
    <w:rsid w:val="00675C10"/>
    <w:rsid w:val="00676065"/>
    <w:rsid w:val="00677D42"/>
    <w:rsid w:val="0068101A"/>
    <w:rsid w:val="0068325E"/>
    <w:rsid w:val="006857C8"/>
    <w:rsid w:val="00694C79"/>
    <w:rsid w:val="006A15DA"/>
    <w:rsid w:val="006B2617"/>
    <w:rsid w:val="006B399C"/>
    <w:rsid w:val="006D564F"/>
    <w:rsid w:val="006D7886"/>
    <w:rsid w:val="006E163D"/>
    <w:rsid w:val="006E42FC"/>
    <w:rsid w:val="006E5D7B"/>
    <w:rsid w:val="006E644F"/>
    <w:rsid w:val="006F587B"/>
    <w:rsid w:val="006F6658"/>
    <w:rsid w:val="00700A6B"/>
    <w:rsid w:val="00707D33"/>
    <w:rsid w:val="007134A6"/>
    <w:rsid w:val="00724046"/>
    <w:rsid w:val="0072505E"/>
    <w:rsid w:val="00733E7F"/>
    <w:rsid w:val="00734B90"/>
    <w:rsid w:val="0073752F"/>
    <w:rsid w:val="00743561"/>
    <w:rsid w:val="00744218"/>
    <w:rsid w:val="007463C3"/>
    <w:rsid w:val="007546CD"/>
    <w:rsid w:val="00754CCF"/>
    <w:rsid w:val="0075768B"/>
    <w:rsid w:val="00760A77"/>
    <w:rsid w:val="00765917"/>
    <w:rsid w:val="0078255E"/>
    <w:rsid w:val="007846C8"/>
    <w:rsid w:val="007A40AB"/>
    <w:rsid w:val="007B1687"/>
    <w:rsid w:val="007B2114"/>
    <w:rsid w:val="007C1936"/>
    <w:rsid w:val="007C392A"/>
    <w:rsid w:val="007C432F"/>
    <w:rsid w:val="007C483E"/>
    <w:rsid w:val="007C6C5D"/>
    <w:rsid w:val="007D0DC4"/>
    <w:rsid w:val="007E103B"/>
    <w:rsid w:val="007E7382"/>
    <w:rsid w:val="007F1A90"/>
    <w:rsid w:val="007F5570"/>
    <w:rsid w:val="007F7C79"/>
    <w:rsid w:val="00801B0D"/>
    <w:rsid w:val="00802121"/>
    <w:rsid w:val="00802673"/>
    <w:rsid w:val="00820570"/>
    <w:rsid w:val="00825F9C"/>
    <w:rsid w:val="00833364"/>
    <w:rsid w:val="0083412B"/>
    <w:rsid w:val="00835CA6"/>
    <w:rsid w:val="00837A7D"/>
    <w:rsid w:val="00837E5A"/>
    <w:rsid w:val="00840304"/>
    <w:rsid w:val="008532FD"/>
    <w:rsid w:val="00855A71"/>
    <w:rsid w:val="0086428B"/>
    <w:rsid w:val="008656FE"/>
    <w:rsid w:val="008702CE"/>
    <w:rsid w:val="008706E7"/>
    <w:rsid w:val="00875292"/>
    <w:rsid w:val="00880CDD"/>
    <w:rsid w:val="00887F22"/>
    <w:rsid w:val="008A085F"/>
    <w:rsid w:val="008A4788"/>
    <w:rsid w:val="008B0312"/>
    <w:rsid w:val="008C50B5"/>
    <w:rsid w:val="008C5108"/>
    <w:rsid w:val="008D6557"/>
    <w:rsid w:val="008E0FC6"/>
    <w:rsid w:val="008E1964"/>
    <w:rsid w:val="008E78D6"/>
    <w:rsid w:val="008F5E21"/>
    <w:rsid w:val="00915478"/>
    <w:rsid w:val="00917C46"/>
    <w:rsid w:val="00917E0D"/>
    <w:rsid w:val="0092064A"/>
    <w:rsid w:val="00926468"/>
    <w:rsid w:val="0092696B"/>
    <w:rsid w:val="0094040E"/>
    <w:rsid w:val="00941174"/>
    <w:rsid w:val="00941372"/>
    <w:rsid w:val="009525F7"/>
    <w:rsid w:val="0095716A"/>
    <w:rsid w:val="00963FD4"/>
    <w:rsid w:val="009735DD"/>
    <w:rsid w:val="00975E7C"/>
    <w:rsid w:val="00985513"/>
    <w:rsid w:val="009864C8"/>
    <w:rsid w:val="009A22CB"/>
    <w:rsid w:val="009A46A1"/>
    <w:rsid w:val="009B0439"/>
    <w:rsid w:val="009B0CC6"/>
    <w:rsid w:val="009B5DDD"/>
    <w:rsid w:val="009C07FB"/>
    <w:rsid w:val="009C1559"/>
    <w:rsid w:val="009C4EED"/>
    <w:rsid w:val="009C7497"/>
    <w:rsid w:val="009D6D8F"/>
    <w:rsid w:val="009F13BD"/>
    <w:rsid w:val="009F39E9"/>
    <w:rsid w:val="009F5131"/>
    <w:rsid w:val="00A1732E"/>
    <w:rsid w:val="00A2406C"/>
    <w:rsid w:val="00A240C6"/>
    <w:rsid w:val="00A27BEB"/>
    <w:rsid w:val="00A30C91"/>
    <w:rsid w:val="00A502BF"/>
    <w:rsid w:val="00A56539"/>
    <w:rsid w:val="00A6005D"/>
    <w:rsid w:val="00A73907"/>
    <w:rsid w:val="00A746F6"/>
    <w:rsid w:val="00A80F05"/>
    <w:rsid w:val="00A92CB5"/>
    <w:rsid w:val="00A961D2"/>
    <w:rsid w:val="00A96578"/>
    <w:rsid w:val="00AA16F2"/>
    <w:rsid w:val="00AA1B31"/>
    <w:rsid w:val="00AA3C82"/>
    <w:rsid w:val="00AA68FD"/>
    <w:rsid w:val="00AB32A4"/>
    <w:rsid w:val="00AB4029"/>
    <w:rsid w:val="00AB55DB"/>
    <w:rsid w:val="00AC0A99"/>
    <w:rsid w:val="00AC3400"/>
    <w:rsid w:val="00AC6038"/>
    <w:rsid w:val="00AD23D7"/>
    <w:rsid w:val="00AD5709"/>
    <w:rsid w:val="00AD5AEC"/>
    <w:rsid w:val="00AF1EB0"/>
    <w:rsid w:val="00AF2960"/>
    <w:rsid w:val="00AF2A1A"/>
    <w:rsid w:val="00AF339D"/>
    <w:rsid w:val="00B05C2E"/>
    <w:rsid w:val="00B10E63"/>
    <w:rsid w:val="00B162E4"/>
    <w:rsid w:val="00B16A4C"/>
    <w:rsid w:val="00B477EA"/>
    <w:rsid w:val="00B653BF"/>
    <w:rsid w:val="00B65BBE"/>
    <w:rsid w:val="00B66793"/>
    <w:rsid w:val="00B812EF"/>
    <w:rsid w:val="00B824DB"/>
    <w:rsid w:val="00B8377F"/>
    <w:rsid w:val="00B84686"/>
    <w:rsid w:val="00B86B77"/>
    <w:rsid w:val="00B9006F"/>
    <w:rsid w:val="00BB0C31"/>
    <w:rsid w:val="00BB2E3D"/>
    <w:rsid w:val="00BB4C2D"/>
    <w:rsid w:val="00BC3B49"/>
    <w:rsid w:val="00BC62D2"/>
    <w:rsid w:val="00BF30C1"/>
    <w:rsid w:val="00C05B85"/>
    <w:rsid w:val="00C06397"/>
    <w:rsid w:val="00C06BA9"/>
    <w:rsid w:val="00C13D9D"/>
    <w:rsid w:val="00C17184"/>
    <w:rsid w:val="00C172FE"/>
    <w:rsid w:val="00C17CF7"/>
    <w:rsid w:val="00C20E49"/>
    <w:rsid w:val="00C21E5A"/>
    <w:rsid w:val="00C23CAF"/>
    <w:rsid w:val="00C2796E"/>
    <w:rsid w:val="00C32F10"/>
    <w:rsid w:val="00C3336B"/>
    <w:rsid w:val="00C33416"/>
    <w:rsid w:val="00C3782A"/>
    <w:rsid w:val="00C42084"/>
    <w:rsid w:val="00C42CA1"/>
    <w:rsid w:val="00C451A0"/>
    <w:rsid w:val="00C579A8"/>
    <w:rsid w:val="00C61AF9"/>
    <w:rsid w:val="00C629AA"/>
    <w:rsid w:val="00C64CB7"/>
    <w:rsid w:val="00C64D63"/>
    <w:rsid w:val="00C658AC"/>
    <w:rsid w:val="00C72B97"/>
    <w:rsid w:val="00C734FC"/>
    <w:rsid w:val="00C73E27"/>
    <w:rsid w:val="00C74D7C"/>
    <w:rsid w:val="00C80A09"/>
    <w:rsid w:val="00C8236B"/>
    <w:rsid w:val="00C826F0"/>
    <w:rsid w:val="00C85408"/>
    <w:rsid w:val="00C86649"/>
    <w:rsid w:val="00C86BA5"/>
    <w:rsid w:val="00CA41DD"/>
    <w:rsid w:val="00CB05A6"/>
    <w:rsid w:val="00CB24B4"/>
    <w:rsid w:val="00CD1BCD"/>
    <w:rsid w:val="00CE02C9"/>
    <w:rsid w:val="00CE0702"/>
    <w:rsid w:val="00CE30CE"/>
    <w:rsid w:val="00CE41B4"/>
    <w:rsid w:val="00CE466A"/>
    <w:rsid w:val="00CE6086"/>
    <w:rsid w:val="00CE706A"/>
    <w:rsid w:val="00CF3AF2"/>
    <w:rsid w:val="00CF4669"/>
    <w:rsid w:val="00D02BA0"/>
    <w:rsid w:val="00D0450E"/>
    <w:rsid w:val="00D23984"/>
    <w:rsid w:val="00D27AC5"/>
    <w:rsid w:val="00D30EE6"/>
    <w:rsid w:val="00D435E4"/>
    <w:rsid w:val="00D44E39"/>
    <w:rsid w:val="00D46FD6"/>
    <w:rsid w:val="00D52859"/>
    <w:rsid w:val="00D52BF0"/>
    <w:rsid w:val="00D55303"/>
    <w:rsid w:val="00D61B9F"/>
    <w:rsid w:val="00D65A84"/>
    <w:rsid w:val="00D65E32"/>
    <w:rsid w:val="00D66853"/>
    <w:rsid w:val="00D72D98"/>
    <w:rsid w:val="00D73019"/>
    <w:rsid w:val="00D74C5C"/>
    <w:rsid w:val="00D81D20"/>
    <w:rsid w:val="00D82E17"/>
    <w:rsid w:val="00D831D8"/>
    <w:rsid w:val="00D84B06"/>
    <w:rsid w:val="00DB3A58"/>
    <w:rsid w:val="00DC2F79"/>
    <w:rsid w:val="00DD2262"/>
    <w:rsid w:val="00DD453C"/>
    <w:rsid w:val="00DE15D2"/>
    <w:rsid w:val="00DE1829"/>
    <w:rsid w:val="00DE7F62"/>
    <w:rsid w:val="00DF0B6C"/>
    <w:rsid w:val="00DF3094"/>
    <w:rsid w:val="00E0147E"/>
    <w:rsid w:val="00E128AF"/>
    <w:rsid w:val="00E13195"/>
    <w:rsid w:val="00E1480F"/>
    <w:rsid w:val="00E20646"/>
    <w:rsid w:val="00E23CE6"/>
    <w:rsid w:val="00E247AC"/>
    <w:rsid w:val="00E33530"/>
    <w:rsid w:val="00E349B4"/>
    <w:rsid w:val="00E505C2"/>
    <w:rsid w:val="00E54D80"/>
    <w:rsid w:val="00E6164E"/>
    <w:rsid w:val="00E653C8"/>
    <w:rsid w:val="00E67EE7"/>
    <w:rsid w:val="00E75622"/>
    <w:rsid w:val="00E76DC4"/>
    <w:rsid w:val="00E81AC8"/>
    <w:rsid w:val="00E9702E"/>
    <w:rsid w:val="00EA214C"/>
    <w:rsid w:val="00EB4290"/>
    <w:rsid w:val="00EB45FF"/>
    <w:rsid w:val="00EB752F"/>
    <w:rsid w:val="00EC13ED"/>
    <w:rsid w:val="00EC2495"/>
    <w:rsid w:val="00EC6324"/>
    <w:rsid w:val="00EE4109"/>
    <w:rsid w:val="00EF6F46"/>
    <w:rsid w:val="00F07F8F"/>
    <w:rsid w:val="00F122BA"/>
    <w:rsid w:val="00F1311B"/>
    <w:rsid w:val="00F13FF8"/>
    <w:rsid w:val="00F15DE9"/>
    <w:rsid w:val="00F35183"/>
    <w:rsid w:val="00F41034"/>
    <w:rsid w:val="00F41CA3"/>
    <w:rsid w:val="00F42EE1"/>
    <w:rsid w:val="00F55D9D"/>
    <w:rsid w:val="00F70BE6"/>
    <w:rsid w:val="00F81458"/>
    <w:rsid w:val="00F83F0B"/>
    <w:rsid w:val="00F852AD"/>
    <w:rsid w:val="00F85C21"/>
    <w:rsid w:val="00F90642"/>
    <w:rsid w:val="00F91D62"/>
    <w:rsid w:val="00F961D3"/>
    <w:rsid w:val="00FA5A03"/>
    <w:rsid w:val="00FB14B8"/>
    <w:rsid w:val="00FC050B"/>
    <w:rsid w:val="00FD0D5B"/>
    <w:rsid w:val="00FE542A"/>
    <w:rsid w:val="00FE5463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6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辦法標題"/>
    <w:basedOn w:val="a"/>
    <w:rsid w:val="001B4673"/>
    <w:pPr>
      <w:ind w:left="1440" w:hanging="1440"/>
    </w:pPr>
    <w:rPr>
      <w:rFonts w:eastAsia="標楷體" w:cs="Arial"/>
      <w:color w:val="000000"/>
      <w:sz w:val="32"/>
    </w:rPr>
  </w:style>
  <w:style w:type="paragraph" w:customStyle="1" w:styleId="a4">
    <w:name w:val="辦法日期"/>
    <w:basedOn w:val="a"/>
    <w:rsid w:val="001B4673"/>
    <w:pPr>
      <w:ind w:firstLine="799"/>
    </w:pPr>
    <w:rPr>
      <w:rFonts w:eastAsia="標楷體" w:cs="Arial"/>
      <w:color w:val="000000"/>
      <w:sz w:val="20"/>
    </w:rPr>
  </w:style>
  <w:style w:type="paragraph" w:customStyle="1" w:styleId="a5">
    <w:name w:val="辦法條目"/>
    <w:basedOn w:val="a"/>
    <w:rsid w:val="001B4673"/>
    <w:pPr>
      <w:ind w:left="1440" w:hanging="1440"/>
    </w:pPr>
    <w:rPr>
      <w:rFonts w:eastAsia="標楷體" w:cs="Arial"/>
      <w:color w:val="000000"/>
    </w:rPr>
  </w:style>
  <w:style w:type="paragraph" w:customStyle="1" w:styleId="a6">
    <w:name w:val="辦法項"/>
    <w:basedOn w:val="a7"/>
    <w:rsid w:val="001B4673"/>
    <w:pPr>
      <w:spacing w:after="0"/>
      <w:ind w:leftChars="100" w:left="240"/>
    </w:pPr>
    <w:rPr>
      <w:rFonts w:eastAsia="標楷體" w:cs="Arial"/>
      <w:color w:val="000000"/>
    </w:rPr>
  </w:style>
  <w:style w:type="paragraph" w:customStyle="1" w:styleId="a8">
    <w:name w:val="辦法款"/>
    <w:basedOn w:val="a"/>
    <w:rsid w:val="001B4673"/>
    <w:pPr>
      <w:ind w:left="960" w:hanging="480"/>
    </w:pPr>
    <w:rPr>
      <w:rFonts w:eastAsia="標楷體" w:cs="Arial"/>
      <w:color w:val="000000"/>
    </w:rPr>
  </w:style>
  <w:style w:type="table" w:styleId="a9">
    <w:name w:val="Table Grid"/>
    <w:basedOn w:val="a1"/>
    <w:rsid w:val="001B4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1B4673"/>
    <w:rPr>
      <w:rFonts w:ascii="細明體" w:eastAsia="細明體" w:hAnsi="Courier New" w:cs="Courier New"/>
    </w:rPr>
  </w:style>
  <w:style w:type="paragraph" w:styleId="ab">
    <w:name w:val="footer"/>
    <w:basedOn w:val="a"/>
    <w:link w:val="ac"/>
    <w:uiPriority w:val="99"/>
    <w:rsid w:val="001B4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1B4673"/>
  </w:style>
  <w:style w:type="paragraph" w:styleId="a7">
    <w:name w:val="Body Text Indent"/>
    <w:basedOn w:val="a"/>
    <w:rsid w:val="001B4673"/>
    <w:pPr>
      <w:spacing w:after="120"/>
      <w:ind w:leftChars="200" w:left="480"/>
    </w:pPr>
  </w:style>
  <w:style w:type="paragraph" w:styleId="ae">
    <w:name w:val="Balloon Text"/>
    <w:basedOn w:val="a"/>
    <w:semiHidden/>
    <w:rsid w:val="0020230D"/>
    <w:rPr>
      <w:rFonts w:ascii="Arial" w:hAnsi="Arial"/>
      <w:sz w:val="18"/>
      <w:szCs w:val="18"/>
    </w:rPr>
  </w:style>
  <w:style w:type="paragraph" w:styleId="af">
    <w:name w:val="header"/>
    <w:basedOn w:val="a"/>
    <w:link w:val="af0"/>
    <w:rsid w:val="00326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326B93"/>
    <w:rPr>
      <w:kern w:val="2"/>
    </w:rPr>
  </w:style>
  <w:style w:type="character" w:customStyle="1" w:styleId="ac">
    <w:name w:val="頁尾 字元"/>
    <w:basedOn w:val="a0"/>
    <w:link w:val="ab"/>
    <w:uiPriority w:val="99"/>
    <w:rsid w:val="00FC05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253</Words>
  <Characters>1448</Characters>
  <Application>Microsoft Office Word</Application>
  <DocSecurity>0</DocSecurity>
  <Lines>12</Lines>
  <Paragraphs>3</Paragraphs>
  <ScaleCrop>false</ScaleCrop>
  <Company>takming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德明財經科技大學○○系(○室、○中心)教師研究成果評量辦法範本</dc:title>
  <dc:creator>mcchen</dc:creator>
  <cp:lastModifiedBy>陳嘉燕 </cp:lastModifiedBy>
  <cp:revision>13</cp:revision>
  <cp:lastPrinted>2015-08-14T02:17:00Z</cp:lastPrinted>
  <dcterms:created xsi:type="dcterms:W3CDTF">2015-08-11T06:06:00Z</dcterms:created>
  <dcterms:modified xsi:type="dcterms:W3CDTF">2016-10-24T07:48:00Z</dcterms:modified>
</cp:coreProperties>
</file>