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B6" w:rsidRDefault="00293EB6" w:rsidP="00293EB6">
      <w:pPr>
        <w:snapToGrid w:val="0"/>
        <w:spacing w:beforeLines="50" w:before="180"/>
        <w:ind w:left="1440" w:hanging="1440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</w:rPr>
        <w:t>德明財經科技大學體育室教師研究成果評量</w:t>
      </w:r>
      <w:r w:rsidR="00583CC4">
        <w:rPr>
          <w:rFonts w:ascii="標楷體" w:eastAsia="標楷體" w:hAnsi="標楷體" w:hint="eastAsia"/>
          <w:sz w:val="28"/>
          <w:szCs w:val="28"/>
          <w:lang w:eastAsia="zh-TW"/>
        </w:rPr>
        <w:t>要點</w:t>
      </w:r>
    </w:p>
    <w:p w:rsidR="00293EB6" w:rsidRDefault="00293EB6" w:rsidP="00293EB6">
      <w:pPr>
        <w:spacing w:line="280" w:lineRule="exact"/>
        <w:jc w:val="right"/>
        <w:rPr>
          <w:rFonts w:ascii="Times New Roman" w:hAnsi="Times New Roman" w:cs="Times New Roman"/>
          <w:sz w:val="18"/>
          <w:szCs w:val="18"/>
        </w:rPr>
      </w:pPr>
    </w:p>
    <w:p w:rsidR="00293EB6" w:rsidRDefault="00293EB6" w:rsidP="00293EB6">
      <w:pPr>
        <w:spacing w:line="280" w:lineRule="exact"/>
        <w:jc w:val="right"/>
        <w:rPr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中華民國</w:t>
      </w:r>
      <w:r>
        <w:rPr>
          <w:sz w:val="18"/>
          <w:szCs w:val="18"/>
        </w:rPr>
        <w:t>104</w:t>
      </w:r>
      <w:r>
        <w:rPr>
          <w:rFonts w:ascii="標楷體" w:eastAsia="標楷體" w:hAnsi="標楷體" w:hint="eastAsia"/>
          <w:sz w:val="18"/>
          <w:szCs w:val="18"/>
        </w:rPr>
        <w:t>年</w:t>
      </w:r>
      <w:r>
        <w:rPr>
          <w:sz w:val="18"/>
          <w:szCs w:val="18"/>
        </w:rPr>
        <w:t>07</w:t>
      </w:r>
      <w:r>
        <w:rPr>
          <w:rFonts w:ascii="標楷體" w:eastAsia="標楷體" w:hAnsi="標楷體" w:hint="eastAsia"/>
          <w:sz w:val="18"/>
          <w:szCs w:val="18"/>
        </w:rPr>
        <w:t>月</w:t>
      </w:r>
      <w:r>
        <w:rPr>
          <w:sz w:val="18"/>
          <w:szCs w:val="18"/>
        </w:rPr>
        <w:t>16</w:t>
      </w:r>
      <w:r>
        <w:rPr>
          <w:rFonts w:ascii="標楷體" w:eastAsia="標楷體" w:hAnsi="標楷體" w:hint="eastAsia"/>
          <w:sz w:val="18"/>
          <w:szCs w:val="18"/>
        </w:rPr>
        <w:t>日體育室教評會議新訂</w:t>
      </w:r>
    </w:p>
    <w:p w:rsidR="00293EB6" w:rsidRDefault="00293EB6" w:rsidP="00293EB6">
      <w:pPr>
        <w:spacing w:line="280" w:lineRule="exact"/>
        <w:jc w:val="right"/>
        <w:rPr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中華民國</w:t>
      </w:r>
      <w:r>
        <w:rPr>
          <w:sz w:val="18"/>
          <w:szCs w:val="18"/>
        </w:rPr>
        <w:t>104</w:t>
      </w:r>
      <w:r>
        <w:rPr>
          <w:rFonts w:ascii="標楷體" w:eastAsia="標楷體" w:hAnsi="標楷體" w:hint="eastAsia"/>
          <w:sz w:val="18"/>
          <w:szCs w:val="18"/>
        </w:rPr>
        <w:t>年</w:t>
      </w:r>
      <w:r>
        <w:rPr>
          <w:sz w:val="18"/>
          <w:szCs w:val="18"/>
        </w:rPr>
        <w:t>07</w:t>
      </w:r>
      <w:r>
        <w:rPr>
          <w:rFonts w:ascii="標楷體" w:eastAsia="標楷體" w:hAnsi="標楷體" w:hint="eastAsia"/>
          <w:sz w:val="18"/>
          <w:szCs w:val="18"/>
        </w:rPr>
        <w:t>月</w:t>
      </w:r>
      <w:r>
        <w:rPr>
          <w:sz w:val="18"/>
          <w:szCs w:val="18"/>
        </w:rPr>
        <w:t>20</w:t>
      </w:r>
      <w:r>
        <w:rPr>
          <w:rFonts w:ascii="標楷體" w:eastAsia="標楷體" w:hAnsi="標楷體" w:hint="eastAsia"/>
          <w:sz w:val="18"/>
          <w:szCs w:val="18"/>
        </w:rPr>
        <w:t>日共同科院教師評審委員會議修訂</w:t>
      </w:r>
    </w:p>
    <w:p w:rsidR="00293EB6" w:rsidRPr="00341DCD" w:rsidRDefault="00293EB6" w:rsidP="00293EB6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341DCD">
        <w:rPr>
          <w:rFonts w:ascii="標楷體" w:eastAsia="標楷體" w:hAnsi="標楷體" w:hint="eastAsia"/>
          <w:sz w:val="18"/>
          <w:szCs w:val="18"/>
        </w:rPr>
        <w:t>中華民國</w:t>
      </w:r>
      <w:r w:rsidRPr="00341DCD">
        <w:rPr>
          <w:sz w:val="18"/>
          <w:szCs w:val="18"/>
        </w:rPr>
        <w:t>104</w:t>
      </w:r>
      <w:r w:rsidRPr="00341DCD">
        <w:rPr>
          <w:rFonts w:ascii="標楷體" w:eastAsia="標楷體" w:hAnsi="標楷體" w:hint="eastAsia"/>
          <w:sz w:val="18"/>
          <w:szCs w:val="18"/>
        </w:rPr>
        <w:t>年</w:t>
      </w:r>
      <w:r w:rsidRPr="00341DCD">
        <w:rPr>
          <w:sz w:val="18"/>
          <w:szCs w:val="18"/>
        </w:rPr>
        <w:t>7</w:t>
      </w:r>
      <w:r w:rsidRPr="00341DCD">
        <w:rPr>
          <w:rFonts w:ascii="標楷體" w:eastAsia="標楷體" w:hAnsi="標楷體" w:hint="eastAsia"/>
          <w:sz w:val="18"/>
          <w:szCs w:val="18"/>
        </w:rPr>
        <w:t>月</w:t>
      </w:r>
      <w:r w:rsidRPr="00341DCD">
        <w:rPr>
          <w:sz w:val="18"/>
          <w:szCs w:val="18"/>
        </w:rPr>
        <w:t>23</w:t>
      </w:r>
      <w:r w:rsidRPr="00341DCD">
        <w:rPr>
          <w:rFonts w:ascii="標楷體" w:eastAsia="標楷體" w:hAnsi="標楷體" w:hint="eastAsia"/>
          <w:sz w:val="18"/>
          <w:szCs w:val="18"/>
        </w:rPr>
        <w:t>日校教評會議通過</w:t>
      </w:r>
    </w:p>
    <w:p w:rsidR="003F10A8" w:rsidRPr="00341DCD" w:rsidRDefault="003F10A8" w:rsidP="003F10A8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341DCD">
        <w:rPr>
          <w:rFonts w:ascii="標楷體" w:eastAsia="標楷體" w:hAnsi="標楷體" w:hint="eastAsia"/>
          <w:sz w:val="18"/>
          <w:szCs w:val="18"/>
        </w:rPr>
        <w:t>中華民國</w:t>
      </w:r>
      <w:r w:rsidRPr="00341DCD">
        <w:rPr>
          <w:sz w:val="18"/>
          <w:szCs w:val="18"/>
        </w:rPr>
        <w:t>10</w:t>
      </w:r>
      <w:r>
        <w:rPr>
          <w:rFonts w:hint="eastAsia"/>
          <w:sz w:val="18"/>
          <w:szCs w:val="18"/>
          <w:lang w:eastAsia="zh-TW"/>
        </w:rPr>
        <w:t>5</w:t>
      </w:r>
      <w:r w:rsidRPr="00341DCD">
        <w:rPr>
          <w:rFonts w:ascii="標楷體" w:eastAsia="標楷體" w:hAnsi="標楷體" w:hint="eastAsia"/>
          <w:sz w:val="18"/>
          <w:szCs w:val="18"/>
        </w:rPr>
        <w:t>年</w:t>
      </w:r>
      <w:r w:rsidRPr="00341DCD">
        <w:rPr>
          <w:sz w:val="18"/>
          <w:szCs w:val="18"/>
        </w:rPr>
        <w:t>7</w:t>
      </w:r>
      <w:r w:rsidRPr="00341DCD">
        <w:rPr>
          <w:rFonts w:ascii="標楷體" w:eastAsia="標楷體" w:hAnsi="標楷體" w:hint="eastAsia"/>
          <w:sz w:val="18"/>
          <w:szCs w:val="18"/>
        </w:rPr>
        <w:t>月</w:t>
      </w:r>
      <w:r w:rsidRPr="00341DCD">
        <w:rPr>
          <w:sz w:val="18"/>
          <w:szCs w:val="18"/>
        </w:rPr>
        <w:t>2</w:t>
      </w:r>
      <w:r>
        <w:rPr>
          <w:rFonts w:hint="eastAsia"/>
          <w:sz w:val="18"/>
          <w:szCs w:val="18"/>
          <w:lang w:eastAsia="zh-TW"/>
        </w:rPr>
        <w:t>5</w:t>
      </w:r>
      <w:r w:rsidRPr="00341DCD">
        <w:rPr>
          <w:rFonts w:ascii="標楷體" w:eastAsia="標楷體" w:hAnsi="標楷體" w:hint="eastAsia"/>
          <w:sz w:val="18"/>
          <w:szCs w:val="18"/>
        </w:rPr>
        <w:t>日校教評會議</w:t>
      </w:r>
      <w:r>
        <w:rPr>
          <w:rFonts w:ascii="標楷體" w:eastAsia="標楷體" w:hAnsi="標楷體" w:hint="eastAsia"/>
          <w:sz w:val="18"/>
          <w:szCs w:val="18"/>
          <w:lang w:eastAsia="zh-TW"/>
        </w:rPr>
        <w:t>修訂</w:t>
      </w:r>
      <w:bookmarkStart w:id="0" w:name="_GoBack"/>
      <w:bookmarkEnd w:id="0"/>
    </w:p>
    <w:p w:rsidR="00293EB6" w:rsidRPr="003F10A8" w:rsidRDefault="00293EB6" w:rsidP="00293EB6">
      <w:pPr>
        <w:spacing w:line="0" w:lineRule="atLeast"/>
        <w:jc w:val="right"/>
        <w:rPr>
          <w:rFonts w:ascii="標楷體" w:eastAsia="標楷體" w:hAnsi="標楷體"/>
          <w:sz w:val="20"/>
          <w:szCs w:val="20"/>
        </w:rPr>
      </w:pPr>
    </w:p>
    <w:p w:rsidR="00293EB6" w:rsidRDefault="00293EB6" w:rsidP="00293EB6">
      <w:pPr>
        <w:ind w:left="1441" w:hanging="1441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  <w:b/>
          <w:bCs/>
        </w:rPr>
        <w:t>第一條</w:t>
      </w:r>
      <w:r>
        <w:rPr>
          <w:sz w:val="14"/>
          <w:szCs w:val="14"/>
        </w:rPr>
        <w:t> </w:t>
      </w:r>
      <w:r>
        <w:rPr>
          <w:b/>
          <w:bCs/>
        </w:rPr>
        <w:t>(</w:t>
      </w:r>
      <w:r>
        <w:rPr>
          <w:rFonts w:ascii="標楷體" w:eastAsia="標楷體" w:hAnsi="標楷體" w:hint="eastAsia"/>
          <w:b/>
          <w:bCs/>
        </w:rPr>
        <w:t>依據</w:t>
      </w:r>
      <w:r>
        <w:rPr>
          <w:b/>
          <w:bCs/>
        </w:rPr>
        <w:t>)</w:t>
      </w:r>
    </w:p>
    <w:p w:rsidR="00293EB6" w:rsidRDefault="00293EB6" w:rsidP="00293EB6">
      <w:pPr>
        <w:spacing w:afterLines="50" w:after="18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德明財經科技大學體育室</w:t>
      </w:r>
      <w:r>
        <w:t>(</w:t>
      </w:r>
      <w:r>
        <w:rPr>
          <w:rFonts w:ascii="標楷體" w:eastAsia="標楷體" w:hAnsi="標楷體" w:hint="eastAsia"/>
        </w:rPr>
        <w:t>以下簡稱本室</w:t>
      </w:r>
      <w:r>
        <w:t>)</w:t>
      </w:r>
      <w:r>
        <w:rPr>
          <w:rFonts w:ascii="標楷體" w:eastAsia="標楷體" w:hAnsi="標楷體" w:hint="eastAsia"/>
        </w:rPr>
        <w:t>依據本校教師升等辦法第五條訂定本</w:t>
      </w:r>
      <w:r w:rsidRPr="00341DCD">
        <w:rPr>
          <w:rFonts w:ascii="標楷體" w:eastAsia="標楷體" w:hAnsi="標楷體" w:hint="eastAsia"/>
          <w:bCs/>
        </w:rPr>
        <w:t>室</w:t>
      </w:r>
      <w:r>
        <w:rPr>
          <w:rFonts w:ascii="標楷體" w:eastAsia="標楷體" w:hAnsi="標楷體" w:hint="eastAsia"/>
        </w:rPr>
        <w:t>教師研究成果評量</w:t>
      </w:r>
      <w:r w:rsidR="00583CC4" w:rsidRPr="00583CC4">
        <w:rPr>
          <w:rFonts w:ascii="標楷體" w:eastAsia="標楷體" w:hAnsi="標楷體" w:hint="eastAsia"/>
          <w:u w:val="single"/>
          <w:lang w:eastAsia="zh-TW"/>
        </w:rPr>
        <w:t>要點</w:t>
      </w:r>
      <w:r>
        <w:t xml:space="preserve"> (</w:t>
      </w:r>
      <w:r>
        <w:rPr>
          <w:rFonts w:ascii="標楷體" w:eastAsia="標楷體" w:hAnsi="標楷體" w:hint="eastAsia"/>
        </w:rPr>
        <w:t>以下簡稱本</w:t>
      </w:r>
      <w:r w:rsidR="00583CC4" w:rsidRPr="00583CC4">
        <w:rPr>
          <w:rFonts w:ascii="標楷體" w:eastAsia="標楷體" w:hAnsi="標楷體" w:hint="eastAsia"/>
          <w:u w:val="single"/>
          <w:lang w:eastAsia="zh-TW"/>
        </w:rPr>
        <w:t>要點</w:t>
      </w:r>
      <w:r>
        <w:t>)</w:t>
      </w:r>
      <w:r>
        <w:rPr>
          <w:rFonts w:ascii="標楷體" w:eastAsia="標楷體" w:hAnsi="標楷體" w:hint="eastAsia"/>
        </w:rPr>
        <w:t>，訂定教師研究成果之各評審細項標準，以評量教師研究成果並作為教師升等之依據。</w:t>
      </w:r>
    </w:p>
    <w:p w:rsidR="00293EB6" w:rsidRDefault="00293EB6" w:rsidP="00293EB6">
      <w:pPr>
        <w:spacing w:afterLines="50" w:after="18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第二條 (評量類別)            </w:t>
      </w:r>
    </w:p>
    <w:p w:rsidR="00293EB6" w:rsidRDefault="00293EB6" w:rsidP="00293EB6">
      <w:pPr>
        <w:spacing w:afterLines="50" w:after="18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583CC4" w:rsidRPr="00583CC4">
        <w:rPr>
          <w:rFonts w:ascii="標楷體" w:eastAsia="標楷體" w:hAnsi="標楷體" w:hint="eastAsia"/>
          <w:u w:val="single"/>
          <w:lang w:eastAsia="zh-TW"/>
        </w:rPr>
        <w:t>要點</w:t>
      </w:r>
      <w:r>
        <w:rPr>
          <w:rFonts w:ascii="標楷體" w:eastAsia="標楷體" w:hAnsi="標楷體" w:hint="eastAsia"/>
        </w:rPr>
        <w:t>評量類別係指學術升等之專門著作，實務升等之技術報告、教學實務報告及產學實務報告。</w:t>
      </w:r>
    </w:p>
    <w:p w:rsidR="00293EB6" w:rsidRDefault="00293EB6" w:rsidP="00293EB6">
      <w:pPr>
        <w:spacing w:afterLines="50" w:after="18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學術升等之學位論文升等，依本校教師升等辦法第三條及其他相關規定辦理之。</w:t>
      </w:r>
    </w:p>
    <w:p w:rsidR="00293EB6" w:rsidRDefault="00293EB6" w:rsidP="00293EB6">
      <w:pPr>
        <w:ind w:left="1441" w:hanging="144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第三條 (升等基本門檻)         </w:t>
      </w:r>
    </w:p>
    <w:p w:rsidR="00293EB6" w:rsidRDefault="00293EB6" w:rsidP="00293EB6">
      <w:pPr>
        <w:spacing w:afterLines="50" w:after="18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申請升等教師應提出一篇代表著作及兩篇以上之參考著作。</w:t>
      </w:r>
    </w:p>
    <w:p w:rsidR="00293EB6" w:rsidRDefault="00293EB6" w:rsidP="00293EB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第四條 (學術升等職級基本門檻)</w:t>
      </w:r>
    </w:p>
    <w:p w:rsidR="00293EB6" w:rsidRDefault="00293EB6" w:rsidP="00293EB6">
      <w:pPr>
        <w:spacing w:afterLines="50" w:after="180"/>
        <w:ind w:leftChars="300" w:left="720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以專門著作升等教授者，代表作須為</w:t>
      </w:r>
      <w:r>
        <w:t>A</w:t>
      </w:r>
      <w:r>
        <w:rPr>
          <w:rFonts w:ascii="標楷體" w:eastAsia="標楷體" w:hAnsi="標楷體" w:hint="eastAsia"/>
        </w:rPr>
        <w:t>級著作且是單一作者，著作中至少須有二篇</w:t>
      </w:r>
      <w:r>
        <w:t>A</w:t>
      </w:r>
      <w:r>
        <w:rPr>
          <w:rFonts w:ascii="標楷體" w:eastAsia="標楷體" w:hAnsi="標楷體" w:hint="eastAsia"/>
        </w:rPr>
        <w:t>級著作</w:t>
      </w:r>
      <w:r>
        <w:t>(</w:t>
      </w:r>
      <w:r>
        <w:rPr>
          <w:rFonts w:ascii="標楷體" w:eastAsia="標楷體" w:hAnsi="標楷體" w:hint="eastAsia"/>
        </w:rPr>
        <w:t>含代表作</w:t>
      </w:r>
      <w:r>
        <w:t>)</w:t>
      </w:r>
      <w:r>
        <w:rPr>
          <w:rFonts w:ascii="標楷體" w:eastAsia="標楷體" w:hAnsi="標楷體" w:hint="eastAsia"/>
        </w:rPr>
        <w:t>。</w:t>
      </w:r>
    </w:p>
    <w:p w:rsidR="00293EB6" w:rsidRDefault="00293EB6" w:rsidP="00293EB6">
      <w:pPr>
        <w:spacing w:afterLines="50" w:after="180"/>
        <w:ind w:leftChars="300" w:left="720"/>
      </w:pPr>
      <w:r>
        <w:rPr>
          <w:rFonts w:ascii="標楷體" w:eastAsia="標楷體" w:hAnsi="標楷體" w:hint="eastAsia"/>
        </w:rPr>
        <w:t>升等副教授者，代表作須為</w:t>
      </w:r>
      <w:r>
        <w:t>A</w:t>
      </w:r>
      <w:r>
        <w:rPr>
          <w:rFonts w:ascii="標楷體" w:eastAsia="標楷體" w:hAnsi="標楷體" w:hint="eastAsia"/>
        </w:rPr>
        <w:t>級著作且是第一作者，著作中至少須有</w:t>
      </w:r>
      <w:r>
        <w:t>A</w:t>
      </w:r>
      <w:r>
        <w:rPr>
          <w:rFonts w:ascii="標楷體" w:eastAsia="標楷體" w:hAnsi="標楷體" w:hint="eastAsia"/>
        </w:rPr>
        <w:t>級及</w:t>
      </w:r>
      <w:r>
        <w:t>B</w:t>
      </w:r>
      <w:r>
        <w:rPr>
          <w:rFonts w:ascii="標楷體" w:eastAsia="標楷體" w:hAnsi="標楷體" w:hint="eastAsia"/>
        </w:rPr>
        <w:t>級著作各乙篇</w:t>
      </w:r>
      <w:r>
        <w:t xml:space="preserve"> (</w:t>
      </w:r>
      <w:r>
        <w:rPr>
          <w:rFonts w:ascii="標楷體" w:eastAsia="標楷體" w:hAnsi="標楷體" w:hint="eastAsia"/>
        </w:rPr>
        <w:t>含代表作</w:t>
      </w:r>
      <w:r>
        <w:t>)</w:t>
      </w:r>
      <w:r>
        <w:rPr>
          <w:rFonts w:ascii="標楷體" w:eastAsia="標楷體" w:hAnsi="標楷體" w:hint="eastAsia"/>
        </w:rPr>
        <w:t>。</w:t>
      </w:r>
    </w:p>
    <w:p w:rsidR="00293EB6" w:rsidRDefault="00293EB6" w:rsidP="00293EB6">
      <w:pPr>
        <w:spacing w:afterLines="50" w:after="180"/>
        <w:ind w:leftChars="300" w:left="720"/>
      </w:pPr>
      <w:r>
        <w:rPr>
          <w:rFonts w:ascii="標楷體" w:eastAsia="標楷體" w:hAnsi="標楷體" w:hint="eastAsia"/>
        </w:rPr>
        <w:t>升等助理教授者，代表作須為</w:t>
      </w:r>
      <w:r>
        <w:t>B</w:t>
      </w:r>
      <w:r>
        <w:rPr>
          <w:rFonts w:ascii="標楷體" w:eastAsia="標楷體" w:hAnsi="標楷體" w:hint="eastAsia"/>
        </w:rPr>
        <w:t>級著作以上且是第一作者，著作中至少須有乙篇</w:t>
      </w:r>
      <w:r>
        <w:t>A</w:t>
      </w:r>
      <w:r>
        <w:rPr>
          <w:rFonts w:ascii="標楷體" w:eastAsia="標楷體" w:hAnsi="標楷體" w:hint="eastAsia"/>
        </w:rPr>
        <w:t>級著作或者二篇</w:t>
      </w:r>
      <w:r>
        <w:t>B</w:t>
      </w:r>
      <w:r>
        <w:rPr>
          <w:rFonts w:ascii="標楷體" w:eastAsia="標楷體" w:hAnsi="標楷體" w:hint="eastAsia"/>
        </w:rPr>
        <w:t>級著作</w:t>
      </w:r>
      <w:r>
        <w:t xml:space="preserve"> (</w:t>
      </w:r>
      <w:r>
        <w:rPr>
          <w:rFonts w:ascii="標楷體" w:eastAsia="標楷體" w:hAnsi="標楷體" w:hint="eastAsia"/>
        </w:rPr>
        <w:t>含代表作</w:t>
      </w:r>
      <w:r>
        <w:t>)</w:t>
      </w:r>
      <w:r>
        <w:rPr>
          <w:rFonts w:ascii="標楷體" w:eastAsia="標楷體" w:hAnsi="標楷體" w:hint="eastAsia"/>
        </w:rPr>
        <w:t>。</w:t>
      </w:r>
    </w:p>
    <w:p w:rsidR="00293EB6" w:rsidRDefault="00293EB6" w:rsidP="00293EB6">
      <w:pPr>
        <w:ind w:left="1440" w:hanging="144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第五條 (專門著作評分標準)</w:t>
      </w:r>
    </w:p>
    <w:p w:rsidR="00293EB6" w:rsidRDefault="00293EB6" w:rsidP="00293EB6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學術論文或出版著作，為代表或參考著作之評分標準共分下列三級：</w:t>
      </w:r>
    </w:p>
    <w:p w:rsidR="00293EB6" w:rsidRDefault="00293EB6" w:rsidP="00293EB6">
      <w:pPr>
        <w:ind w:leftChars="413" w:left="2191" w:hanging="1200"/>
        <w:jc w:val="both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一、</w:t>
      </w:r>
      <w:r>
        <w:t>A</w:t>
      </w:r>
      <w:r>
        <w:rPr>
          <w:rFonts w:ascii="標楷體" w:eastAsia="標楷體" w:hAnsi="標楷體" w:hint="eastAsia"/>
        </w:rPr>
        <w:t>級：發表於</w:t>
      </w:r>
      <w:r>
        <w:t>SSCI</w:t>
      </w:r>
      <w:r>
        <w:rPr>
          <w:rFonts w:ascii="標楷體" w:eastAsia="標楷體" w:hAnsi="標楷體" w:hint="eastAsia"/>
        </w:rPr>
        <w:t>、</w:t>
      </w:r>
      <w:r>
        <w:t>SCI</w:t>
      </w:r>
      <w:r>
        <w:rPr>
          <w:rFonts w:ascii="標楷體" w:eastAsia="標楷體" w:hAnsi="標楷體" w:hint="eastAsia"/>
        </w:rPr>
        <w:t>之期刊且影響係數</w:t>
      </w:r>
      <w:r>
        <w:t>(Impact factor)</w:t>
      </w:r>
      <w:r>
        <w:rPr>
          <w:rFonts w:ascii="標楷體" w:eastAsia="標楷體" w:hAnsi="標楷體" w:hint="eastAsia"/>
        </w:rPr>
        <w:t>大於</w:t>
      </w:r>
      <w:r>
        <w:t>0.5</w:t>
      </w:r>
      <w:r>
        <w:rPr>
          <w:rFonts w:ascii="標楷體" w:eastAsia="標楷體" w:hAnsi="標楷體" w:hint="eastAsia"/>
        </w:rPr>
        <w:t>，評分為</w:t>
      </w:r>
      <w:r>
        <w:t>25</w:t>
      </w:r>
      <w:r>
        <w:rPr>
          <w:rFonts w:ascii="標楷體" w:eastAsia="標楷體" w:hAnsi="標楷體" w:hint="eastAsia"/>
        </w:rPr>
        <w:t>分。</w:t>
      </w:r>
    </w:p>
    <w:p w:rsidR="00293EB6" w:rsidRDefault="00293EB6" w:rsidP="00293EB6">
      <w:pPr>
        <w:ind w:leftChars="413" w:left="2042" w:hanging="1051"/>
        <w:jc w:val="both"/>
      </w:pPr>
      <w:r>
        <w:rPr>
          <w:rFonts w:ascii="標楷體" w:eastAsia="標楷體" w:hAnsi="標楷體" w:hint="eastAsia"/>
        </w:rPr>
        <w:t>二、</w:t>
      </w:r>
      <w:r>
        <w:t>B</w:t>
      </w:r>
      <w:r>
        <w:rPr>
          <w:rFonts w:ascii="標楷體" w:eastAsia="標楷體" w:hAnsi="標楷體" w:hint="eastAsia"/>
        </w:rPr>
        <w:t>級：發表於</w:t>
      </w:r>
      <w:r>
        <w:t>SSCI</w:t>
      </w:r>
      <w:r>
        <w:rPr>
          <w:rFonts w:ascii="標楷體" w:eastAsia="標楷體" w:hAnsi="標楷體" w:hint="eastAsia"/>
        </w:rPr>
        <w:t>、</w:t>
      </w:r>
      <w:r>
        <w:t>SCI</w:t>
      </w:r>
      <w:r>
        <w:rPr>
          <w:rFonts w:ascii="標楷體" w:eastAsia="標楷體" w:hAnsi="標楷體" w:hint="eastAsia"/>
        </w:rPr>
        <w:t>之期刊且影響係數</w:t>
      </w:r>
      <w:r>
        <w:t>(Impact factor)</w:t>
      </w:r>
      <w:r>
        <w:rPr>
          <w:rFonts w:ascii="Vrinda" w:hAnsi="Vrinda" w:cs="Vrinda"/>
        </w:rPr>
        <w:t>&lt;=</w:t>
      </w:r>
      <w:r>
        <w:t>0.5</w:t>
      </w:r>
      <w:r>
        <w:rPr>
          <w:rFonts w:ascii="標楷體" w:eastAsia="標楷體" w:hAnsi="標楷體" w:hint="eastAsia"/>
        </w:rPr>
        <w:t>或發表於</w:t>
      </w:r>
      <w:r>
        <w:t>TSSCI</w:t>
      </w:r>
      <w:r>
        <w:rPr>
          <w:rFonts w:ascii="標楷體" w:eastAsia="標楷體" w:hAnsi="標楷體" w:hint="eastAsia"/>
        </w:rPr>
        <w:t>、</w:t>
      </w:r>
      <w:r>
        <w:t>AHCI</w:t>
      </w:r>
      <w:r>
        <w:rPr>
          <w:rFonts w:ascii="標楷體" w:eastAsia="標楷體" w:hAnsi="標楷體" w:hint="eastAsia"/>
        </w:rPr>
        <w:t>、</w:t>
      </w:r>
      <w:r>
        <w:t>EI</w:t>
      </w:r>
      <w:r>
        <w:rPr>
          <w:rFonts w:ascii="標楷體" w:eastAsia="標楷體" w:hAnsi="標楷體" w:hint="eastAsia"/>
          <w:b/>
          <w:bCs/>
          <w:color w:val="000000"/>
        </w:rPr>
        <w:t>、</w:t>
      </w:r>
      <w:r w:rsidRPr="00341DCD">
        <w:rPr>
          <w:rFonts w:ascii="標楷體" w:eastAsia="標楷體" w:hAnsi="標楷體" w:hint="eastAsia"/>
        </w:rPr>
        <w:t>獲科技部評比為</w:t>
      </w:r>
      <w:r w:rsidRPr="00341DCD">
        <w:t>A</w:t>
      </w:r>
      <w:r w:rsidRPr="00341DCD">
        <w:rPr>
          <w:rFonts w:ascii="標楷體" w:eastAsia="標楷體" w:hAnsi="標楷體" w:hint="eastAsia"/>
        </w:rPr>
        <w:t>等第</w:t>
      </w:r>
      <w:r>
        <w:rPr>
          <w:rFonts w:ascii="標楷體" w:eastAsia="標楷體" w:hAnsi="標楷體" w:hint="eastAsia"/>
          <w:color w:val="000000"/>
        </w:rPr>
        <w:t>等期刊之學術論文</w:t>
      </w:r>
      <w:r>
        <w:rPr>
          <w:rFonts w:ascii="標楷體" w:eastAsia="標楷體" w:hAnsi="標楷體" w:hint="eastAsia"/>
        </w:rPr>
        <w:t>，評分</w:t>
      </w:r>
      <w:r>
        <w:t>15</w:t>
      </w:r>
      <w:r>
        <w:rPr>
          <w:rFonts w:ascii="標楷體" w:eastAsia="標楷體" w:hAnsi="標楷體" w:hint="eastAsia"/>
        </w:rPr>
        <w:t>分。</w:t>
      </w:r>
    </w:p>
    <w:p w:rsidR="00293EB6" w:rsidRDefault="00293EB6" w:rsidP="00293EB6">
      <w:pPr>
        <w:ind w:leftChars="413" w:left="2191" w:hanging="1200"/>
        <w:jc w:val="both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三、</w:t>
      </w:r>
      <w:r>
        <w:t>C</w:t>
      </w:r>
      <w:r>
        <w:rPr>
          <w:rFonts w:ascii="標楷體" w:eastAsia="標楷體" w:hAnsi="標楷體" w:hint="eastAsia"/>
        </w:rPr>
        <w:t>級：發表於設有匿名評審制度的期刊或專書上之學術論文，評分</w:t>
      </w:r>
      <w:r>
        <w:t>5</w:t>
      </w:r>
      <w:r>
        <w:rPr>
          <w:rFonts w:ascii="標楷體" w:eastAsia="標楷體" w:hAnsi="標楷體" w:hint="eastAsia"/>
        </w:rPr>
        <w:t>分。</w:t>
      </w:r>
    </w:p>
    <w:p w:rsidR="00293EB6" w:rsidRDefault="00293EB6" w:rsidP="00293EB6">
      <w:pPr>
        <w:spacing w:afterLines="50" w:after="180"/>
        <w:ind w:leftChars="300" w:left="720"/>
      </w:pPr>
      <w:r>
        <w:rPr>
          <w:rFonts w:ascii="標楷體" w:eastAsia="標楷體" w:hAnsi="標楷體" w:hint="eastAsia"/>
        </w:rPr>
        <w:lastRenderedPageBreak/>
        <w:t>援用</w:t>
      </w:r>
      <w:r>
        <w:t>SSCI</w:t>
      </w:r>
      <w:r>
        <w:rPr>
          <w:rFonts w:ascii="標楷體" w:eastAsia="標楷體" w:hAnsi="標楷體" w:hint="eastAsia"/>
        </w:rPr>
        <w:t>、</w:t>
      </w:r>
      <w:r>
        <w:t>SCI</w:t>
      </w:r>
      <w:r>
        <w:rPr>
          <w:rFonts w:ascii="標楷體" w:eastAsia="標楷體" w:hAnsi="標楷體" w:hint="eastAsia"/>
        </w:rPr>
        <w:t>等期刊之影響係數及收錄於</w:t>
      </w:r>
      <w:r>
        <w:t>TSSCI</w:t>
      </w:r>
      <w:r>
        <w:rPr>
          <w:rFonts w:ascii="標楷體" w:eastAsia="標楷體" w:hAnsi="標楷體" w:hint="eastAsia"/>
        </w:rPr>
        <w:t>之期刊，得回溯五年內之任一年度資料。</w:t>
      </w:r>
    </w:p>
    <w:p w:rsidR="00293EB6" w:rsidRDefault="00293EB6" w:rsidP="00293EB6">
      <w:pPr>
        <w:spacing w:afterLines="50" w:after="180"/>
        <w:ind w:leftChars="300" w:left="720"/>
      </w:pPr>
      <w:r>
        <w:rPr>
          <w:rFonts w:ascii="標楷體" w:eastAsia="標楷體" w:hAnsi="標楷體" w:hint="eastAsia"/>
        </w:rPr>
        <w:t>該著作為單獨發表者，分數以其著作等級評分</w:t>
      </w:r>
      <w:r>
        <w:t>100%</w:t>
      </w:r>
      <w:r>
        <w:rPr>
          <w:rFonts w:ascii="標楷體" w:eastAsia="標楷體" w:hAnsi="標楷體" w:hint="eastAsia"/>
        </w:rPr>
        <w:t>計算之；兩人合著者，第一作者分數以等級分數之</w:t>
      </w:r>
      <w:r>
        <w:t xml:space="preserve"> 2/3</w:t>
      </w:r>
      <w:r>
        <w:rPr>
          <w:rFonts w:ascii="標楷體" w:eastAsia="標楷體" w:hAnsi="標楷體" w:hint="eastAsia"/>
        </w:rPr>
        <w:t>計算</w:t>
      </w:r>
      <w:r>
        <w:t>(</w:t>
      </w:r>
      <w:r>
        <w:rPr>
          <w:rFonts w:ascii="標楷體" w:eastAsia="標楷體" w:hAnsi="標楷體" w:hint="eastAsia"/>
        </w:rPr>
        <w:t>通訊作者等同第一作者</w:t>
      </w:r>
      <w:r>
        <w:t>)</w:t>
      </w:r>
      <w:r>
        <w:rPr>
          <w:rFonts w:ascii="標楷體" w:eastAsia="標楷體" w:hAnsi="標楷體" w:hint="eastAsia"/>
        </w:rPr>
        <w:t>，第二作者則以</w:t>
      </w:r>
      <w:r>
        <w:t>1/3</w:t>
      </w:r>
      <w:r>
        <w:rPr>
          <w:rFonts w:ascii="標楷體" w:eastAsia="標楷體" w:hAnsi="標楷體" w:hint="eastAsia"/>
        </w:rPr>
        <w:t>計算；多人合著者，第一作者以</w:t>
      </w:r>
      <w:r>
        <w:t xml:space="preserve"> 1/2</w:t>
      </w:r>
      <w:r>
        <w:rPr>
          <w:rFonts w:ascii="標楷體" w:eastAsia="標楷體" w:hAnsi="標楷體" w:hint="eastAsia"/>
        </w:rPr>
        <w:t>計算，第二及第三作者分別以</w:t>
      </w:r>
      <w:r>
        <w:t>1/3</w:t>
      </w:r>
      <w:r>
        <w:rPr>
          <w:rFonts w:ascii="標楷體" w:eastAsia="標楷體" w:hAnsi="標楷體" w:hint="eastAsia"/>
        </w:rPr>
        <w:t>及</w:t>
      </w:r>
      <w:r>
        <w:t>1/6</w:t>
      </w:r>
      <w:r>
        <w:rPr>
          <w:rFonts w:ascii="標楷體" w:eastAsia="標楷體" w:hAnsi="標楷體" w:hint="eastAsia"/>
        </w:rPr>
        <w:t>計算之，第四作者</w:t>
      </w:r>
      <w:r>
        <w:t>(</w:t>
      </w:r>
      <w:r>
        <w:rPr>
          <w:rFonts w:ascii="標楷體" w:eastAsia="標楷體" w:hAnsi="標楷體" w:hint="eastAsia"/>
        </w:rPr>
        <w:t>含</w:t>
      </w:r>
      <w:r>
        <w:t>)</w:t>
      </w:r>
      <w:r>
        <w:rPr>
          <w:rFonts w:ascii="標楷體" w:eastAsia="標楷體" w:hAnsi="標楷體" w:hint="eastAsia"/>
        </w:rPr>
        <w:t>以下者均不予計分</w:t>
      </w:r>
      <w:r>
        <w:t>(</w:t>
      </w:r>
      <w:r>
        <w:rPr>
          <w:rFonts w:ascii="標楷體" w:eastAsia="標楷體" w:hAnsi="標楷體" w:hint="eastAsia"/>
        </w:rPr>
        <w:t>分數以四捨五入法取至整數位</w:t>
      </w:r>
      <w:r>
        <w:t>)</w:t>
      </w:r>
      <w:r>
        <w:rPr>
          <w:rFonts w:ascii="標楷體" w:eastAsia="標楷體" w:hAnsi="標楷體" w:hint="eastAsia"/>
        </w:rPr>
        <w:t>。</w:t>
      </w:r>
    </w:p>
    <w:p w:rsidR="00293EB6" w:rsidRDefault="00293EB6" w:rsidP="00293EB6">
      <w:pPr>
        <w:ind w:left="1440" w:hanging="144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第六條 (實務升等著作評分標準)</w:t>
      </w:r>
    </w:p>
    <w:p w:rsidR="00293EB6" w:rsidRDefault="00293EB6" w:rsidP="00293EB6">
      <w:pPr>
        <w:spacing w:afterLines="50" w:after="180"/>
        <w:ind w:leftChars="300" w:left="720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為鼓勵教師多元升等，本系教師如以技術報告、教學實務報告及產學實務報告為其代表著作申請升等者，教學實務報告之代表著作以</w:t>
      </w:r>
      <w:r>
        <w:t>30</w:t>
      </w:r>
      <w:r>
        <w:rPr>
          <w:rFonts w:ascii="標楷體" w:eastAsia="標楷體" w:hAnsi="標楷體" w:hint="eastAsia"/>
        </w:rPr>
        <w:t>分計；其餘代表著作一律以</w:t>
      </w:r>
      <w:r>
        <w:t>25</w:t>
      </w:r>
      <w:r>
        <w:rPr>
          <w:rFonts w:ascii="標楷體" w:eastAsia="標楷體" w:hAnsi="標楷體" w:hint="eastAsia"/>
        </w:rPr>
        <w:t>分計算。</w:t>
      </w:r>
    </w:p>
    <w:p w:rsidR="00293EB6" w:rsidRDefault="00293EB6" w:rsidP="00293EB6">
      <w:pPr>
        <w:spacing w:afterLines="50" w:after="18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其餘專門著作之評分，參照本</w:t>
      </w:r>
      <w:r w:rsidR="00583CC4" w:rsidRPr="00583CC4">
        <w:rPr>
          <w:rFonts w:ascii="標楷體" w:eastAsia="標楷體" w:hAnsi="標楷體" w:hint="eastAsia"/>
          <w:u w:val="single"/>
          <w:lang w:eastAsia="zh-TW"/>
        </w:rPr>
        <w:t>要點</w:t>
      </w:r>
      <w:r>
        <w:rPr>
          <w:rFonts w:ascii="標楷體" w:eastAsia="標楷體" w:hAnsi="標楷體" w:hint="eastAsia"/>
        </w:rPr>
        <w:t>第五條之評分標準。</w:t>
      </w:r>
    </w:p>
    <w:p w:rsidR="00293EB6" w:rsidRDefault="00293EB6" w:rsidP="00293EB6">
      <w:pPr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第七條 (升等職級基準)</w:t>
      </w:r>
    </w:p>
    <w:p w:rsidR="00293EB6" w:rsidRDefault="00293EB6" w:rsidP="00293EB6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以學術或實務升等各職級者，包含代表著作在內，所有著作總分須達以下各職級之升等基準，方可提出升等申請。</w:t>
      </w:r>
    </w:p>
    <w:p w:rsidR="00293EB6" w:rsidRDefault="00293EB6" w:rsidP="00293EB6">
      <w:pPr>
        <w:ind w:leftChars="413" w:left="2191" w:hanging="1200"/>
        <w:jc w:val="both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一、升等教授者，所有著作總分應達</w:t>
      </w:r>
      <w:r>
        <w:t>75</w:t>
      </w:r>
      <w:r>
        <w:rPr>
          <w:rFonts w:ascii="標楷體" w:eastAsia="標楷體" w:hAnsi="標楷體" w:hint="eastAsia"/>
        </w:rPr>
        <w:t>分以上。</w:t>
      </w:r>
    </w:p>
    <w:p w:rsidR="00293EB6" w:rsidRDefault="00293EB6" w:rsidP="00293EB6">
      <w:pPr>
        <w:ind w:leftChars="413" w:left="2191" w:hanging="1200"/>
        <w:jc w:val="both"/>
      </w:pPr>
      <w:r>
        <w:rPr>
          <w:rFonts w:ascii="標楷體" w:eastAsia="標楷體" w:hAnsi="標楷體" w:hint="eastAsia"/>
        </w:rPr>
        <w:t>二、升等副教授者，所有著作總分應達</w:t>
      </w:r>
      <w:r>
        <w:t>65</w:t>
      </w:r>
      <w:r>
        <w:rPr>
          <w:rFonts w:ascii="標楷體" w:eastAsia="標楷體" w:hAnsi="標楷體" w:hint="eastAsia"/>
        </w:rPr>
        <w:t>分以上。</w:t>
      </w:r>
    </w:p>
    <w:p w:rsidR="00293EB6" w:rsidRDefault="00293EB6" w:rsidP="00293EB6">
      <w:pPr>
        <w:spacing w:afterLines="50" w:after="180"/>
        <w:ind w:leftChars="413" w:left="2191" w:hanging="1200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</w:rPr>
        <w:t>三、升等助理教授者，所有著作總分應達</w:t>
      </w:r>
      <w:r>
        <w:t>60</w:t>
      </w:r>
      <w:r>
        <w:rPr>
          <w:rFonts w:ascii="標楷體" w:eastAsia="標楷體" w:hAnsi="標楷體" w:hint="eastAsia"/>
        </w:rPr>
        <w:t>分以上。</w:t>
      </w:r>
    </w:p>
    <w:p w:rsidR="00293EB6" w:rsidRDefault="00293EB6" w:rsidP="00293EB6">
      <w:pPr>
        <w:spacing w:afterLines="50" w:after="180"/>
        <w:ind w:left="1440" w:hanging="144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第八條 (送審規定)</w:t>
      </w:r>
    </w:p>
    <w:p w:rsidR="00293EB6" w:rsidRDefault="00293EB6" w:rsidP="00293EB6">
      <w:pPr>
        <w:spacing w:afterLines="50" w:after="18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送審時須依本校教師升等辦法第六條之規定辦理外，如本次送審代表著作與前次送審代表著作內容近似者，送審時應檢附前次送審代表著作與本次著作異同對照。</w:t>
      </w:r>
    </w:p>
    <w:p w:rsidR="00293EB6" w:rsidRDefault="00293EB6" w:rsidP="00293EB6">
      <w:pPr>
        <w:ind w:left="1441" w:hanging="1441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第九條 (著作與專業領域之關聯)</w:t>
      </w:r>
    </w:p>
    <w:p w:rsidR="00293EB6" w:rsidRDefault="00293EB6" w:rsidP="00293EB6">
      <w:pPr>
        <w:spacing w:afterLines="50" w:after="18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申請人送審之學術論文應與其專業領域或任教科目有關，並經</w:t>
      </w:r>
      <w:r>
        <w:rPr>
          <w:rFonts w:ascii="標楷體" w:eastAsia="標楷體" w:hAnsi="標楷體" w:hint="eastAsia"/>
          <w:u w:val="single"/>
        </w:rPr>
        <w:t>各</w:t>
      </w:r>
      <w:r>
        <w:rPr>
          <w:rFonts w:ascii="標楷體" w:eastAsia="標楷體" w:hAnsi="標楷體" w:hint="eastAsia"/>
        </w:rPr>
        <w:t>級教師評審委員會審議，發現無關聯者得予退回。</w:t>
      </w:r>
    </w:p>
    <w:p w:rsidR="00293EB6" w:rsidRDefault="00293EB6" w:rsidP="00293EB6">
      <w:pPr>
        <w:ind w:left="1440" w:hanging="144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第十條 (未盡事宜)</w:t>
      </w:r>
    </w:p>
    <w:p w:rsidR="00293EB6" w:rsidRDefault="00293EB6" w:rsidP="00293EB6">
      <w:pPr>
        <w:spacing w:afterLines="50" w:after="180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</w:t>
      </w:r>
      <w:r w:rsidR="00583CC4" w:rsidRPr="00583CC4">
        <w:rPr>
          <w:rFonts w:ascii="標楷體" w:eastAsia="標楷體" w:hAnsi="標楷體" w:hint="eastAsia"/>
          <w:u w:val="single"/>
          <w:lang w:eastAsia="zh-TW"/>
        </w:rPr>
        <w:t>要點</w:t>
      </w:r>
      <w:r>
        <w:rPr>
          <w:rFonts w:ascii="標楷體" w:eastAsia="標楷體" w:hAnsi="標楷體" w:hint="eastAsia"/>
        </w:rPr>
        <w:t>未訂事項，悉依本校教師升等辦法辦理之。</w:t>
      </w:r>
    </w:p>
    <w:p w:rsidR="00293EB6" w:rsidRDefault="00293EB6" w:rsidP="00293EB6">
      <w:pPr>
        <w:ind w:left="1440" w:hanging="144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第十一條 (實施與修正)</w:t>
      </w:r>
    </w:p>
    <w:p w:rsidR="00293EB6" w:rsidRDefault="00293EB6" w:rsidP="00293EB6">
      <w:pPr>
        <w:spacing w:afterLines="50" w:after="180"/>
        <w:ind w:leftChars="300" w:left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本</w:t>
      </w:r>
      <w:r w:rsidR="00583CC4" w:rsidRPr="00583CC4">
        <w:rPr>
          <w:rFonts w:ascii="標楷體" w:eastAsia="標楷體" w:hAnsi="標楷體" w:hint="eastAsia"/>
          <w:u w:val="single"/>
          <w:lang w:eastAsia="zh-TW"/>
        </w:rPr>
        <w:t>要點</w:t>
      </w:r>
      <w:r>
        <w:rPr>
          <w:rFonts w:ascii="標楷體" w:eastAsia="標楷體" w:hAnsi="標楷體" w:hint="eastAsia"/>
        </w:rPr>
        <w:t>經本室教師評審委員會通過，並經院級及校級教師評審委員會通過後公布施行。</w:t>
      </w:r>
    </w:p>
    <w:p w:rsidR="007F7D39" w:rsidRPr="00583CC4" w:rsidRDefault="007F7D39"/>
    <w:sectPr w:rsidR="007F7D39" w:rsidRPr="00583C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24" w:rsidRDefault="00AE0F24" w:rsidP="00583CC4">
      <w:r>
        <w:separator/>
      </w:r>
    </w:p>
  </w:endnote>
  <w:endnote w:type="continuationSeparator" w:id="0">
    <w:p w:rsidR="00AE0F24" w:rsidRDefault="00AE0F24" w:rsidP="0058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24" w:rsidRDefault="00AE0F24" w:rsidP="00583CC4">
      <w:r>
        <w:separator/>
      </w:r>
    </w:p>
  </w:footnote>
  <w:footnote w:type="continuationSeparator" w:id="0">
    <w:p w:rsidR="00AE0F24" w:rsidRDefault="00AE0F24" w:rsidP="00583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6"/>
    <w:rsid w:val="0023333C"/>
    <w:rsid w:val="00293EB6"/>
    <w:rsid w:val="00341DCD"/>
    <w:rsid w:val="003F10A8"/>
    <w:rsid w:val="00583CC4"/>
    <w:rsid w:val="007F7D39"/>
    <w:rsid w:val="00826ED8"/>
    <w:rsid w:val="00A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6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CC4"/>
    <w:rPr>
      <w:rFonts w:ascii="Calibri" w:eastAsia="新細明體" w:hAnsi="Calibri" w:cs="新細明體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8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CC4"/>
    <w:rPr>
      <w:rFonts w:ascii="Calibri" w:eastAsia="新細明體" w:hAnsi="Calibri" w:cs="新細明體"/>
      <w:kern w:val="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B6"/>
    <w:rPr>
      <w:rFonts w:ascii="Calibri" w:eastAsia="新細明體" w:hAnsi="Calibri" w:cs="新細明體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3CC4"/>
    <w:rPr>
      <w:rFonts w:ascii="Calibri" w:eastAsia="新細明體" w:hAnsi="Calibri" w:cs="新細明體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583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3CC4"/>
    <w:rPr>
      <w:rFonts w:ascii="Calibri" w:eastAsia="新細明體" w:hAnsi="Calibri" w:cs="新細明體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陳玉蘭 [ylchen]</dc:creator>
  <cp:lastModifiedBy>陳玉蘭 [ylchen]</cp:lastModifiedBy>
  <cp:revision>3</cp:revision>
  <dcterms:created xsi:type="dcterms:W3CDTF">2015-09-15T07:15:00Z</dcterms:created>
  <dcterms:modified xsi:type="dcterms:W3CDTF">2016-10-25T02:52:00Z</dcterms:modified>
</cp:coreProperties>
</file>